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39792387"/>
        <w:docPartObj>
          <w:docPartGallery w:val="Cover Pages"/>
          <w:docPartUnique/>
        </w:docPartObj>
      </w:sdtPr>
      <w:sdtEndPr/>
      <w:sdtContent>
        <w:p w14:paraId="02FDCC9B" w14:textId="77777777" w:rsidR="00943E9F" w:rsidRDefault="00943E9F"/>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05"/>
          </w:tblGrid>
          <w:tr w:rsidR="00943E9F" w14:paraId="390AD869" w14:textId="77777777">
            <w:sdt>
              <w:sdtPr>
                <w:rPr>
                  <w:color w:val="2F5496" w:themeColor="accent1" w:themeShade="BF"/>
                  <w:sz w:val="24"/>
                  <w:szCs w:val="24"/>
                </w:rPr>
                <w:alias w:val="Company"/>
                <w:id w:val="13406915"/>
                <w:placeholder>
                  <w:docPart w:val="398B8F53BFBB4DB68A1C7E7E258EC609"/>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5D9F0836" w14:textId="77777777" w:rsidR="00943E9F" w:rsidRDefault="00943E9F">
                    <w:pPr>
                      <w:pStyle w:val="NoSpacing"/>
                      <w:rPr>
                        <w:color w:val="2F5496" w:themeColor="accent1" w:themeShade="BF"/>
                        <w:sz w:val="24"/>
                      </w:rPr>
                    </w:pPr>
                    <w:r>
                      <w:rPr>
                        <w:color w:val="2F5496" w:themeColor="accent1" w:themeShade="BF"/>
                        <w:sz w:val="24"/>
                        <w:szCs w:val="24"/>
                      </w:rPr>
                      <w:t>New Granville Limited Liability Partnership</w:t>
                    </w:r>
                  </w:p>
                </w:tc>
              </w:sdtContent>
            </w:sdt>
          </w:tr>
          <w:tr w:rsidR="00943E9F" w14:paraId="24C85891" w14:textId="77777777">
            <w:tc>
              <w:tcPr>
                <w:tcW w:w="7672" w:type="dxa"/>
              </w:tcPr>
              <w:sdt>
                <w:sdtPr>
                  <w:rPr>
                    <w:rFonts w:asciiTheme="majorHAnsi" w:eastAsiaTheme="majorEastAsia" w:hAnsiTheme="majorHAnsi" w:cstheme="majorBidi"/>
                    <w:color w:val="4472C4" w:themeColor="accent1"/>
                    <w:sz w:val="88"/>
                    <w:szCs w:val="88"/>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701D07FD" w14:textId="77777777" w:rsidR="00943E9F" w:rsidRDefault="00943E9F">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Proof of Evidence</w:t>
                    </w:r>
                  </w:p>
                </w:sdtContent>
              </w:sdt>
            </w:tc>
          </w:tr>
          <w:tr w:rsidR="00943E9F" w14:paraId="088C110C" w14:textId="77777777">
            <w:sdt>
              <w:sdtPr>
                <w:rPr>
                  <w:color w:val="2F5496" w:themeColor="accent1" w:themeShade="BF"/>
                  <w:sz w:val="24"/>
                  <w:szCs w:val="24"/>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34FA7CA2" w14:textId="77777777" w:rsidR="00943E9F" w:rsidRDefault="00AC52C7">
                    <w:pPr>
                      <w:pStyle w:val="NoSpacing"/>
                      <w:rPr>
                        <w:color w:val="2F5496" w:themeColor="accent1" w:themeShade="BF"/>
                        <w:sz w:val="24"/>
                      </w:rPr>
                    </w:pPr>
                    <w:r>
                      <w:rPr>
                        <w:color w:val="2F5496" w:themeColor="accent1" w:themeShade="BF"/>
                        <w:sz w:val="24"/>
                        <w:szCs w:val="24"/>
                      </w:rPr>
                      <w:t>THE LONDON BOROUGH OF BARNET (GRANVILLE ROAD ESTATE) COMPULSORY PURCHASE ORDER 2018</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140"/>
          </w:tblGrid>
          <w:tr w:rsidR="00D4013F" w14:paraId="5118F91E" w14:textId="77777777">
            <w:tc>
              <w:tcPr>
                <w:tcW w:w="7221" w:type="dxa"/>
                <w:tcMar>
                  <w:top w:w="216" w:type="dxa"/>
                  <w:left w:w="115" w:type="dxa"/>
                  <w:bottom w:w="216" w:type="dxa"/>
                  <w:right w:w="115" w:type="dxa"/>
                </w:tcMar>
              </w:tcPr>
              <w:p w14:paraId="681036F3" w14:textId="064AFFA3" w:rsidR="00D4013F" w:rsidRDefault="001B79F6">
                <w:pPr>
                  <w:pStyle w:val="NoSpacing"/>
                  <w:rPr>
                    <w:color w:val="4472C4" w:themeColor="accent1"/>
                    <w:sz w:val="28"/>
                    <w:szCs w:val="28"/>
                  </w:rPr>
                </w:pPr>
                <w:r>
                  <w:rPr>
                    <w:color w:val="4472C4" w:themeColor="accent1"/>
                    <w:sz w:val="28"/>
                    <w:szCs w:val="28"/>
                  </w:rPr>
                  <w:t>Reference:</w:t>
                </w:r>
                <w:r w:rsidR="00D4013F">
                  <w:rPr>
                    <w:color w:val="4472C4" w:themeColor="accent1"/>
                    <w:sz w:val="28"/>
                    <w:szCs w:val="28"/>
                  </w:rPr>
                  <w:t xml:space="preserve"> </w:t>
                </w:r>
                <w:r w:rsidR="00CE0F79">
                  <w:rPr>
                    <w:color w:val="4472C4" w:themeColor="accent1"/>
                    <w:sz w:val="28"/>
                    <w:szCs w:val="28"/>
                  </w:rPr>
                  <w:t xml:space="preserve">AA </w:t>
                </w:r>
                <w:r w:rsidR="00D4013F">
                  <w:rPr>
                    <w:color w:val="4472C4" w:themeColor="accent1"/>
                    <w:sz w:val="28"/>
                    <w:szCs w:val="28"/>
                  </w:rPr>
                  <w:t>RW1.1</w:t>
                </w:r>
              </w:p>
            </w:tc>
          </w:tr>
          <w:tr w:rsidR="00943E9F" w14:paraId="79899E81" w14:textId="77777777">
            <w:tc>
              <w:tcPr>
                <w:tcW w:w="7221" w:type="dxa"/>
                <w:tcMar>
                  <w:top w:w="216" w:type="dxa"/>
                  <w:left w:w="115" w:type="dxa"/>
                  <w:bottom w:w="216" w:type="dxa"/>
                  <w:right w:w="115" w:type="dxa"/>
                </w:tcMar>
              </w:tcPr>
              <w:sdt>
                <w:sdtPr>
                  <w:rPr>
                    <w:color w:val="4472C4" w:themeColor="accent1"/>
                    <w:sz w:val="28"/>
                    <w:szCs w:val="28"/>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14:paraId="0076A3B3" w14:textId="77777777" w:rsidR="00943E9F" w:rsidRDefault="00D4013F">
                    <w:pPr>
                      <w:pStyle w:val="NoSpacing"/>
                      <w:rPr>
                        <w:color w:val="4472C4" w:themeColor="accent1"/>
                        <w:sz w:val="28"/>
                        <w:szCs w:val="28"/>
                      </w:rPr>
                    </w:pPr>
                    <w:r>
                      <w:rPr>
                        <w:color w:val="4472C4" w:themeColor="accent1"/>
                        <w:sz w:val="28"/>
                        <w:szCs w:val="28"/>
                      </w:rPr>
                      <w:t>Ross Williams</w:t>
                    </w:r>
                  </w:p>
                </w:sdtContent>
              </w:sdt>
              <w:p w14:paraId="6272AF31" w14:textId="0B23910B" w:rsidR="00943E9F" w:rsidRDefault="00126804">
                <w:pPr>
                  <w:pStyle w:val="NoSpacing"/>
                  <w:rPr>
                    <w:color w:val="4472C4" w:themeColor="accent1"/>
                    <w:sz w:val="28"/>
                    <w:szCs w:val="28"/>
                  </w:rPr>
                </w:pPr>
                <w:r>
                  <w:rPr>
                    <w:color w:val="4472C4" w:themeColor="accent1"/>
                    <w:sz w:val="28"/>
                    <w:szCs w:val="28"/>
                  </w:rPr>
                  <w:t>June</w:t>
                </w:r>
                <w:r w:rsidR="00943E9F">
                  <w:rPr>
                    <w:color w:val="4472C4" w:themeColor="accent1"/>
                    <w:sz w:val="28"/>
                    <w:szCs w:val="28"/>
                  </w:rPr>
                  <w:t xml:space="preserve"> 2018</w:t>
                </w:r>
              </w:p>
              <w:p w14:paraId="64B7C83C" w14:textId="77777777" w:rsidR="00943E9F" w:rsidRDefault="00943E9F">
                <w:pPr>
                  <w:pStyle w:val="NoSpacing"/>
                  <w:rPr>
                    <w:color w:val="4472C4" w:themeColor="accent1"/>
                  </w:rPr>
                </w:pPr>
              </w:p>
            </w:tc>
          </w:tr>
        </w:tbl>
        <w:p w14:paraId="2F92AC9B" w14:textId="77777777" w:rsidR="00943E9F" w:rsidRDefault="00943E9F">
          <w:r>
            <w:br w:type="page"/>
          </w:r>
        </w:p>
      </w:sdtContent>
    </w:sdt>
    <w:sdt>
      <w:sdtPr>
        <w:rPr>
          <w:rFonts w:asciiTheme="minorHAnsi" w:eastAsiaTheme="minorHAnsi" w:hAnsiTheme="minorHAnsi" w:cstheme="minorBidi"/>
          <w:color w:val="auto"/>
          <w:sz w:val="22"/>
          <w:szCs w:val="22"/>
          <w:lang w:val="en-GB"/>
        </w:rPr>
        <w:id w:val="980197826"/>
        <w:docPartObj>
          <w:docPartGallery w:val="Table of Contents"/>
          <w:docPartUnique/>
        </w:docPartObj>
      </w:sdtPr>
      <w:sdtEndPr>
        <w:rPr>
          <w:b/>
          <w:bCs/>
          <w:noProof/>
        </w:rPr>
      </w:sdtEndPr>
      <w:sdtContent>
        <w:p w14:paraId="28F485F6" w14:textId="77777777" w:rsidR="00943E9F" w:rsidRDefault="00943E9F">
          <w:pPr>
            <w:pStyle w:val="TOCHeading"/>
          </w:pPr>
          <w:r>
            <w:t>Contents</w:t>
          </w:r>
        </w:p>
        <w:p w14:paraId="79C291C6" w14:textId="32DCEAAC" w:rsidR="000527F7" w:rsidRDefault="00943E9F">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16156319" w:history="1">
            <w:r w:rsidR="000527F7" w:rsidRPr="00B267D2">
              <w:rPr>
                <w:rStyle w:val="Hyperlink"/>
                <w:noProof/>
              </w:rPr>
              <w:t>1. Introduction</w:t>
            </w:r>
            <w:r w:rsidR="000527F7">
              <w:rPr>
                <w:noProof/>
                <w:webHidden/>
              </w:rPr>
              <w:tab/>
            </w:r>
            <w:r w:rsidR="000527F7">
              <w:rPr>
                <w:noProof/>
                <w:webHidden/>
              </w:rPr>
              <w:fldChar w:fldCharType="begin"/>
            </w:r>
            <w:r w:rsidR="000527F7">
              <w:rPr>
                <w:noProof/>
                <w:webHidden/>
              </w:rPr>
              <w:instrText xml:space="preserve"> PAGEREF _Toc516156319 \h </w:instrText>
            </w:r>
            <w:r w:rsidR="000527F7">
              <w:rPr>
                <w:noProof/>
                <w:webHidden/>
              </w:rPr>
            </w:r>
            <w:r w:rsidR="000527F7">
              <w:rPr>
                <w:noProof/>
                <w:webHidden/>
              </w:rPr>
              <w:fldChar w:fldCharType="separate"/>
            </w:r>
            <w:r w:rsidR="00D750F7">
              <w:rPr>
                <w:noProof/>
                <w:webHidden/>
              </w:rPr>
              <w:t>2</w:t>
            </w:r>
            <w:r w:rsidR="000527F7">
              <w:rPr>
                <w:noProof/>
                <w:webHidden/>
              </w:rPr>
              <w:fldChar w:fldCharType="end"/>
            </w:r>
          </w:hyperlink>
        </w:p>
        <w:p w14:paraId="385F5C34" w14:textId="72546E8C" w:rsidR="000527F7" w:rsidRDefault="00D750F7">
          <w:pPr>
            <w:pStyle w:val="TOC1"/>
            <w:tabs>
              <w:tab w:val="right" w:leader="dot" w:pos="9016"/>
            </w:tabs>
            <w:rPr>
              <w:rFonts w:eastAsiaTheme="minorEastAsia"/>
              <w:noProof/>
              <w:lang w:eastAsia="en-GB"/>
            </w:rPr>
          </w:pPr>
          <w:hyperlink w:anchor="_Toc516156320" w:history="1">
            <w:r w:rsidR="000527F7" w:rsidRPr="00B267D2">
              <w:rPr>
                <w:rStyle w:val="Hyperlink"/>
                <w:noProof/>
              </w:rPr>
              <w:t>2. Scope of Evidence</w:t>
            </w:r>
            <w:r w:rsidR="000527F7">
              <w:rPr>
                <w:noProof/>
                <w:webHidden/>
              </w:rPr>
              <w:tab/>
            </w:r>
            <w:r w:rsidR="000527F7">
              <w:rPr>
                <w:noProof/>
                <w:webHidden/>
              </w:rPr>
              <w:fldChar w:fldCharType="begin"/>
            </w:r>
            <w:r w:rsidR="000527F7">
              <w:rPr>
                <w:noProof/>
                <w:webHidden/>
              </w:rPr>
              <w:instrText xml:space="preserve"> PAGEREF _Toc516156320 \h </w:instrText>
            </w:r>
            <w:r w:rsidR="000527F7">
              <w:rPr>
                <w:noProof/>
                <w:webHidden/>
              </w:rPr>
            </w:r>
            <w:r w:rsidR="000527F7">
              <w:rPr>
                <w:noProof/>
                <w:webHidden/>
              </w:rPr>
              <w:fldChar w:fldCharType="separate"/>
            </w:r>
            <w:r>
              <w:rPr>
                <w:noProof/>
                <w:webHidden/>
              </w:rPr>
              <w:t>3</w:t>
            </w:r>
            <w:r w:rsidR="000527F7">
              <w:rPr>
                <w:noProof/>
                <w:webHidden/>
              </w:rPr>
              <w:fldChar w:fldCharType="end"/>
            </w:r>
          </w:hyperlink>
        </w:p>
        <w:p w14:paraId="3D6119B9" w14:textId="07B1CFF1" w:rsidR="000527F7" w:rsidRDefault="00D750F7">
          <w:pPr>
            <w:pStyle w:val="TOC1"/>
            <w:tabs>
              <w:tab w:val="right" w:leader="dot" w:pos="9016"/>
            </w:tabs>
            <w:rPr>
              <w:rFonts w:eastAsiaTheme="minorEastAsia"/>
              <w:noProof/>
              <w:lang w:eastAsia="en-GB"/>
            </w:rPr>
          </w:pPr>
          <w:hyperlink w:anchor="_Toc516156321" w:history="1">
            <w:r w:rsidR="000527F7" w:rsidRPr="00B267D2">
              <w:rPr>
                <w:rStyle w:val="Hyperlink"/>
                <w:noProof/>
              </w:rPr>
              <w:t>3. The Developer</w:t>
            </w:r>
            <w:r w:rsidR="000527F7">
              <w:rPr>
                <w:noProof/>
                <w:webHidden/>
              </w:rPr>
              <w:tab/>
            </w:r>
            <w:r w:rsidR="000527F7">
              <w:rPr>
                <w:noProof/>
                <w:webHidden/>
              </w:rPr>
              <w:fldChar w:fldCharType="begin"/>
            </w:r>
            <w:r w:rsidR="000527F7">
              <w:rPr>
                <w:noProof/>
                <w:webHidden/>
              </w:rPr>
              <w:instrText xml:space="preserve"> PAGEREF _Toc516156321 \h </w:instrText>
            </w:r>
            <w:r w:rsidR="000527F7">
              <w:rPr>
                <w:noProof/>
                <w:webHidden/>
              </w:rPr>
            </w:r>
            <w:r w:rsidR="000527F7">
              <w:rPr>
                <w:noProof/>
                <w:webHidden/>
              </w:rPr>
              <w:fldChar w:fldCharType="separate"/>
            </w:r>
            <w:r>
              <w:rPr>
                <w:noProof/>
                <w:webHidden/>
              </w:rPr>
              <w:t>4</w:t>
            </w:r>
            <w:r w:rsidR="000527F7">
              <w:rPr>
                <w:noProof/>
                <w:webHidden/>
              </w:rPr>
              <w:fldChar w:fldCharType="end"/>
            </w:r>
          </w:hyperlink>
        </w:p>
        <w:p w14:paraId="51249816" w14:textId="0DE75502" w:rsidR="000527F7" w:rsidRDefault="00D750F7">
          <w:pPr>
            <w:pStyle w:val="TOC1"/>
            <w:tabs>
              <w:tab w:val="right" w:leader="dot" w:pos="9016"/>
            </w:tabs>
            <w:rPr>
              <w:rFonts w:eastAsiaTheme="minorEastAsia"/>
              <w:noProof/>
              <w:lang w:eastAsia="en-GB"/>
            </w:rPr>
          </w:pPr>
          <w:hyperlink w:anchor="_Toc516156322" w:history="1">
            <w:r w:rsidR="000527F7" w:rsidRPr="00B267D2">
              <w:rPr>
                <w:rStyle w:val="Hyperlink"/>
                <w:noProof/>
              </w:rPr>
              <w:t>4. Arrangements between the Developer and the Council</w:t>
            </w:r>
            <w:r w:rsidR="000527F7">
              <w:rPr>
                <w:noProof/>
                <w:webHidden/>
              </w:rPr>
              <w:tab/>
            </w:r>
            <w:r w:rsidR="000527F7">
              <w:rPr>
                <w:noProof/>
                <w:webHidden/>
              </w:rPr>
              <w:fldChar w:fldCharType="begin"/>
            </w:r>
            <w:r w:rsidR="000527F7">
              <w:rPr>
                <w:noProof/>
                <w:webHidden/>
              </w:rPr>
              <w:instrText xml:space="preserve"> PAGEREF _Toc516156322 \h </w:instrText>
            </w:r>
            <w:r w:rsidR="000527F7">
              <w:rPr>
                <w:noProof/>
                <w:webHidden/>
              </w:rPr>
            </w:r>
            <w:r w:rsidR="000527F7">
              <w:rPr>
                <w:noProof/>
                <w:webHidden/>
              </w:rPr>
              <w:fldChar w:fldCharType="separate"/>
            </w:r>
            <w:r>
              <w:rPr>
                <w:noProof/>
                <w:webHidden/>
              </w:rPr>
              <w:t>8</w:t>
            </w:r>
            <w:r w:rsidR="000527F7">
              <w:rPr>
                <w:noProof/>
                <w:webHidden/>
              </w:rPr>
              <w:fldChar w:fldCharType="end"/>
            </w:r>
          </w:hyperlink>
        </w:p>
        <w:p w14:paraId="03EB6195" w14:textId="20A50EEE" w:rsidR="000527F7" w:rsidRDefault="00D750F7">
          <w:pPr>
            <w:pStyle w:val="TOC1"/>
            <w:tabs>
              <w:tab w:val="right" w:leader="dot" w:pos="9016"/>
            </w:tabs>
            <w:rPr>
              <w:rFonts w:eastAsiaTheme="minorEastAsia"/>
              <w:noProof/>
              <w:lang w:eastAsia="en-GB"/>
            </w:rPr>
          </w:pPr>
          <w:hyperlink w:anchor="_Toc516156323" w:history="1">
            <w:r w:rsidR="000527F7" w:rsidRPr="00B267D2">
              <w:rPr>
                <w:rStyle w:val="Hyperlink"/>
                <w:noProof/>
              </w:rPr>
              <w:t>5. Scheme Description</w:t>
            </w:r>
            <w:r w:rsidR="000527F7">
              <w:rPr>
                <w:noProof/>
                <w:webHidden/>
              </w:rPr>
              <w:tab/>
            </w:r>
            <w:r w:rsidR="000527F7">
              <w:rPr>
                <w:noProof/>
                <w:webHidden/>
              </w:rPr>
              <w:fldChar w:fldCharType="begin"/>
            </w:r>
            <w:r w:rsidR="000527F7">
              <w:rPr>
                <w:noProof/>
                <w:webHidden/>
              </w:rPr>
              <w:instrText xml:space="preserve"> PAGEREF _Toc516156323 \h </w:instrText>
            </w:r>
            <w:r w:rsidR="000527F7">
              <w:rPr>
                <w:noProof/>
                <w:webHidden/>
              </w:rPr>
            </w:r>
            <w:r w:rsidR="000527F7">
              <w:rPr>
                <w:noProof/>
                <w:webHidden/>
              </w:rPr>
              <w:fldChar w:fldCharType="separate"/>
            </w:r>
            <w:r>
              <w:rPr>
                <w:noProof/>
                <w:webHidden/>
              </w:rPr>
              <w:t>10</w:t>
            </w:r>
            <w:r w:rsidR="000527F7">
              <w:rPr>
                <w:noProof/>
                <w:webHidden/>
              </w:rPr>
              <w:fldChar w:fldCharType="end"/>
            </w:r>
          </w:hyperlink>
        </w:p>
        <w:p w14:paraId="780B3F95" w14:textId="43658E10" w:rsidR="000527F7" w:rsidRDefault="00D750F7">
          <w:pPr>
            <w:pStyle w:val="TOC1"/>
            <w:tabs>
              <w:tab w:val="right" w:leader="dot" w:pos="9016"/>
            </w:tabs>
            <w:rPr>
              <w:rFonts w:eastAsiaTheme="minorEastAsia"/>
              <w:noProof/>
              <w:lang w:eastAsia="en-GB"/>
            </w:rPr>
          </w:pPr>
          <w:hyperlink w:anchor="_Toc516156324" w:history="1">
            <w:r w:rsidR="000527F7" w:rsidRPr="00B267D2">
              <w:rPr>
                <w:rStyle w:val="Hyperlink"/>
                <w:noProof/>
              </w:rPr>
              <w:t>6. The Developer’s Commitment to Delivery</w:t>
            </w:r>
            <w:r w:rsidR="000527F7">
              <w:rPr>
                <w:noProof/>
                <w:webHidden/>
              </w:rPr>
              <w:tab/>
            </w:r>
            <w:r w:rsidR="000527F7">
              <w:rPr>
                <w:noProof/>
                <w:webHidden/>
              </w:rPr>
              <w:fldChar w:fldCharType="begin"/>
            </w:r>
            <w:r w:rsidR="000527F7">
              <w:rPr>
                <w:noProof/>
                <w:webHidden/>
              </w:rPr>
              <w:instrText xml:space="preserve"> PAGEREF _Toc516156324 \h </w:instrText>
            </w:r>
            <w:r w:rsidR="000527F7">
              <w:rPr>
                <w:noProof/>
                <w:webHidden/>
              </w:rPr>
            </w:r>
            <w:r w:rsidR="000527F7">
              <w:rPr>
                <w:noProof/>
                <w:webHidden/>
              </w:rPr>
              <w:fldChar w:fldCharType="separate"/>
            </w:r>
            <w:r>
              <w:rPr>
                <w:noProof/>
                <w:webHidden/>
              </w:rPr>
              <w:t>14</w:t>
            </w:r>
            <w:r w:rsidR="000527F7">
              <w:rPr>
                <w:noProof/>
                <w:webHidden/>
              </w:rPr>
              <w:fldChar w:fldCharType="end"/>
            </w:r>
          </w:hyperlink>
        </w:p>
        <w:p w14:paraId="629328A5" w14:textId="5EC018EB" w:rsidR="000527F7" w:rsidRDefault="00D750F7">
          <w:pPr>
            <w:pStyle w:val="TOC1"/>
            <w:tabs>
              <w:tab w:val="right" w:leader="dot" w:pos="9016"/>
            </w:tabs>
            <w:rPr>
              <w:rFonts w:eastAsiaTheme="minorEastAsia"/>
              <w:noProof/>
              <w:lang w:eastAsia="en-GB"/>
            </w:rPr>
          </w:pPr>
          <w:hyperlink w:anchor="_Toc516156325" w:history="1">
            <w:r w:rsidR="000527F7" w:rsidRPr="00B267D2">
              <w:rPr>
                <w:rStyle w:val="Hyperlink"/>
                <w:noProof/>
              </w:rPr>
              <w:t>7. Conclusion</w:t>
            </w:r>
            <w:r w:rsidR="000527F7">
              <w:rPr>
                <w:noProof/>
                <w:webHidden/>
              </w:rPr>
              <w:tab/>
            </w:r>
            <w:r w:rsidR="000527F7">
              <w:rPr>
                <w:noProof/>
                <w:webHidden/>
              </w:rPr>
              <w:fldChar w:fldCharType="begin"/>
            </w:r>
            <w:r w:rsidR="000527F7">
              <w:rPr>
                <w:noProof/>
                <w:webHidden/>
              </w:rPr>
              <w:instrText xml:space="preserve"> PAGEREF _Toc516156325 \h </w:instrText>
            </w:r>
            <w:r w:rsidR="000527F7">
              <w:rPr>
                <w:noProof/>
                <w:webHidden/>
              </w:rPr>
            </w:r>
            <w:r w:rsidR="000527F7">
              <w:rPr>
                <w:noProof/>
                <w:webHidden/>
              </w:rPr>
              <w:fldChar w:fldCharType="separate"/>
            </w:r>
            <w:r>
              <w:rPr>
                <w:noProof/>
                <w:webHidden/>
              </w:rPr>
              <w:t>16</w:t>
            </w:r>
            <w:r w:rsidR="000527F7">
              <w:rPr>
                <w:noProof/>
                <w:webHidden/>
              </w:rPr>
              <w:fldChar w:fldCharType="end"/>
            </w:r>
          </w:hyperlink>
        </w:p>
        <w:p w14:paraId="4F5567D1" w14:textId="183664B7" w:rsidR="00943E9F" w:rsidRDefault="00943E9F">
          <w:r>
            <w:rPr>
              <w:b/>
              <w:bCs/>
              <w:noProof/>
            </w:rPr>
            <w:fldChar w:fldCharType="end"/>
          </w:r>
        </w:p>
      </w:sdtContent>
    </w:sdt>
    <w:p w14:paraId="1A7CA6A7" w14:textId="77777777" w:rsidR="00695824" w:rsidRDefault="00417D9D">
      <w:r>
        <w:tab/>
      </w:r>
      <w:r w:rsidR="00695824">
        <w:br w:type="page"/>
      </w:r>
    </w:p>
    <w:p w14:paraId="3B121375" w14:textId="77777777" w:rsidR="001F649D" w:rsidRDefault="00695824" w:rsidP="00695824">
      <w:pPr>
        <w:pStyle w:val="Heading1"/>
      </w:pPr>
      <w:bookmarkStart w:id="0" w:name="_Toc516156319"/>
      <w:r>
        <w:lastRenderedPageBreak/>
        <w:t>1. Introduction</w:t>
      </w:r>
      <w:bookmarkEnd w:id="0"/>
    </w:p>
    <w:p w14:paraId="3F815196" w14:textId="77777777" w:rsidR="00417D9D" w:rsidRPr="00417D9D" w:rsidRDefault="00417D9D" w:rsidP="00417D9D">
      <w:pPr>
        <w:rPr>
          <w:b/>
        </w:rPr>
      </w:pPr>
      <w:r w:rsidRPr="00417D9D">
        <w:rPr>
          <w:b/>
        </w:rPr>
        <w:t>Personal Details</w:t>
      </w:r>
    </w:p>
    <w:p w14:paraId="5F23B86A" w14:textId="0D662DFF" w:rsidR="00417D9D" w:rsidRDefault="00417D9D" w:rsidP="00417D9D">
      <w:pPr>
        <w:ind w:left="720" w:hanging="720"/>
      </w:pPr>
      <w:r>
        <w:t>1.1</w:t>
      </w:r>
      <w:r>
        <w:tab/>
        <w:t xml:space="preserve">My name is Ross Williams. I am the Development Manager for the Granville Road regeneration project and have been in this role for 2 years. I am responsible on behalf of New Granville LLP for the delivery of the regeneration of </w:t>
      </w:r>
      <w:r w:rsidR="00D4013F">
        <w:t xml:space="preserve">the </w:t>
      </w:r>
      <w:r w:rsidR="00D85780">
        <w:t>Granville Road</w:t>
      </w:r>
      <w:r w:rsidR="00D4013F">
        <w:t xml:space="preserve"> Estate (referred to as the Phase 2 Scheme in the Statement of Case </w:t>
      </w:r>
      <w:r w:rsidR="00307C32">
        <w:t>(</w:t>
      </w:r>
      <w:r w:rsidR="00D4013F" w:rsidRPr="00CE0F79">
        <w:t>CD1</w:t>
      </w:r>
      <w:r w:rsidR="00307C32">
        <w:t>)</w:t>
      </w:r>
      <w:r w:rsidR="00CE0F79">
        <w:t xml:space="preserve"> and the Acquiring Authority's Glossary of Terms (CD34)</w:t>
      </w:r>
      <w:r w:rsidR="00D4013F">
        <w:t>)</w:t>
      </w:r>
      <w:r>
        <w:t>, including managing the Principal Development Agreement and stakeholder and community engagement.</w:t>
      </w:r>
    </w:p>
    <w:p w14:paraId="78669AF0" w14:textId="77777777" w:rsidR="00417D9D" w:rsidRDefault="00417D9D" w:rsidP="00417D9D">
      <w:pPr>
        <w:ind w:left="720" w:hanging="720"/>
      </w:pPr>
      <w:r>
        <w:t>1.2</w:t>
      </w:r>
      <w:r>
        <w:tab/>
        <w:t xml:space="preserve">I hold the following qualifications: BSc. (Hons) Geography and Planning, MSc. Real Estate and Property Management. </w:t>
      </w:r>
    </w:p>
    <w:p w14:paraId="1352E0A0" w14:textId="6BE83139" w:rsidR="00417D9D" w:rsidRDefault="00D85780" w:rsidP="00417D9D">
      <w:pPr>
        <w:ind w:left="720" w:hanging="720"/>
      </w:pPr>
      <w:r>
        <w:t>1.3</w:t>
      </w:r>
      <w:r>
        <w:tab/>
        <w:t>I have 4 years’ experience</w:t>
      </w:r>
      <w:r w:rsidR="00417D9D">
        <w:t xml:space="preserve"> in delivering regeneration schemes with </w:t>
      </w:r>
      <w:proofErr w:type="spellStart"/>
      <w:r w:rsidR="00417D9D" w:rsidRPr="005F1D38">
        <w:t>Sherrygreen</w:t>
      </w:r>
      <w:proofErr w:type="spellEnd"/>
      <w:r w:rsidR="00417D9D" w:rsidRPr="005F1D38">
        <w:t xml:space="preserve"> Homes</w:t>
      </w:r>
      <w:r w:rsidR="00D4013F">
        <w:t xml:space="preserve"> Limited</w:t>
      </w:r>
      <w:r w:rsidR="00417D9D">
        <w:t xml:space="preserve"> and</w:t>
      </w:r>
      <w:r w:rsidR="00D4013F">
        <w:t xml:space="preserve"> have</w:t>
      </w:r>
      <w:r w:rsidR="00417D9D">
        <w:t xml:space="preserve"> work</w:t>
      </w:r>
      <w:r w:rsidR="00D4013F">
        <w:t>ed</w:t>
      </w:r>
      <w:r w:rsidR="00417D9D">
        <w:t xml:space="preserve"> </w:t>
      </w:r>
      <w:r w:rsidR="00AA54EF">
        <w:t xml:space="preserve">on the delivery of this project along with the delivery of a 517 unit, mixed use scheme in the London Borough of Enfield. </w:t>
      </w:r>
    </w:p>
    <w:p w14:paraId="6D802247" w14:textId="77777777" w:rsidR="00417D9D" w:rsidRDefault="00417D9D" w:rsidP="00417D9D">
      <w:pPr>
        <w:ind w:left="720" w:hanging="720"/>
      </w:pPr>
      <w:r w:rsidRPr="005F1D38">
        <w:t xml:space="preserve">1.4 </w:t>
      </w:r>
      <w:r w:rsidRPr="005F1D38">
        <w:tab/>
      </w:r>
      <w:proofErr w:type="spellStart"/>
      <w:r w:rsidR="005F1D38" w:rsidRPr="005F1D38">
        <w:t>Sh</w:t>
      </w:r>
      <w:r w:rsidR="005F1D38">
        <w:t>errygreen</w:t>
      </w:r>
      <w:proofErr w:type="spellEnd"/>
      <w:r w:rsidR="005F1D38">
        <w:t xml:space="preserve"> Homes are part of the </w:t>
      </w:r>
      <w:proofErr w:type="spellStart"/>
      <w:r w:rsidR="005F1D38">
        <w:t>Sherrygreen</w:t>
      </w:r>
      <w:proofErr w:type="spellEnd"/>
      <w:r w:rsidR="005F1D38">
        <w:t xml:space="preserve"> Group of companies and are undertaking the development management aspect of this project.</w:t>
      </w:r>
    </w:p>
    <w:p w14:paraId="67AFFAEC" w14:textId="77777777" w:rsidR="00417D9D" w:rsidRPr="00417D9D" w:rsidRDefault="00417D9D" w:rsidP="00417D9D">
      <w:pPr>
        <w:rPr>
          <w:b/>
        </w:rPr>
      </w:pPr>
      <w:r w:rsidRPr="00417D9D">
        <w:rPr>
          <w:b/>
        </w:rPr>
        <w:t>Role in relation to Scheme</w:t>
      </w:r>
    </w:p>
    <w:p w14:paraId="653A16C2" w14:textId="031EEBB4" w:rsidR="00417D9D" w:rsidRDefault="00417D9D" w:rsidP="00417D9D">
      <w:r>
        <w:t>1.5        My responsibility in regard to the</w:t>
      </w:r>
      <w:r w:rsidR="00D4013F">
        <w:t xml:space="preserve"> Phase 2</w:t>
      </w:r>
      <w:r>
        <w:t xml:space="preserve"> Scheme covers:</w:t>
      </w:r>
    </w:p>
    <w:p w14:paraId="00880751" w14:textId="77777777" w:rsidR="00417D9D" w:rsidRDefault="00417D9D" w:rsidP="00417D9D">
      <w:pPr>
        <w:pStyle w:val="ListParagraph"/>
        <w:numPr>
          <w:ilvl w:val="0"/>
          <w:numId w:val="2"/>
        </w:numPr>
        <w:ind w:left="1077"/>
        <w:contextualSpacing w:val="0"/>
      </w:pPr>
      <w:r>
        <w:t>Managing the Principal Development Agreement, including the performance of the Developer’s obligations under it.</w:t>
      </w:r>
    </w:p>
    <w:p w14:paraId="7D8D650C" w14:textId="6ED70264" w:rsidR="00417D9D" w:rsidRPr="005F1D38" w:rsidRDefault="00417D9D" w:rsidP="00417D9D">
      <w:pPr>
        <w:pStyle w:val="ListParagraph"/>
        <w:numPr>
          <w:ilvl w:val="0"/>
          <w:numId w:val="2"/>
        </w:numPr>
        <w:ind w:left="1077"/>
        <w:contextualSpacing w:val="0"/>
      </w:pPr>
      <w:r w:rsidRPr="005F1D38">
        <w:t xml:space="preserve">Managing </w:t>
      </w:r>
      <w:r w:rsidR="0071642C">
        <w:t xml:space="preserve">and </w:t>
      </w:r>
      <w:r w:rsidR="005F1D38">
        <w:t>coordinating the wider project team</w:t>
      </w:r>
      <w:r w:rsidRPr="005F1D38">
        <w:t>.</w:t>
      </w:r>
    </w:p>
    <w:p w14:paraId="346A6729" w14:textId="4064C640" w:rsidR="00417D9D" w:rsidRDefault="00417D9D" w:rsidP="00417D9D">
      <w:pPr>
        <w:pStyle w:val="ListParagraph"/>
        <w:numPr>
          <w:ilvl w:val="0"/>
          <w:numId w:val="2"/>
        </w:numPr>
        <w:ind w:left="1077"/>
        <w:contextualSpacing w:val="0"/>
      </w:pPr>
      <w:r w:rsidRPr="005F1D38">
        <w:t>Reporting to the LLP’s Board quarterly on contractual and financial matters</w:t>
      </w:r>
    </w:p>
    <w:p w14:paraId="71046130" w14:textId="77777777" w:rsidR="005F1D38" w:rsidRDefault="005F1D38" w:rsidP="00417D9D">
      <w:pPr>
        <w:pStyle w:val="ListParagraph"/>
        <w:numPr>
          <w:ilvl w:val="0"/>
          <w:numId w:val="2"/>
        </w:numPr>
        <w:ind w:left="1077"/>
        <w:contextualSpacing w:val="0"/>
      </w:pPr>
      <w:r>
        <w:t>Maintaining development risk registers and managing all project risks and issues.</w:t>
      </w:r>
    </w:p>
    <w:p w14:paraId="501171B6" w14:textId="77777777" w:rsidR="005F1D38" w:rsidRDefault="005F1D38" w:rsidP="00417D9D">
      <w:pPr>
        <w:pStyle w:val="ListParagraph"/>
        <w:numPr>
          <w:ilvl w:val="0"/>
          <w:numId w:val="2"/>
        </w:numPr>
        <w:ind w:left="1077"/>
        <w:contextualSpacing w:val="0"/>
      </w:pPr>
      <w:r>
        <w:t>Managing delivery in line with the scheme’s development programme.</w:t>
      </w:r>
    </w:p>
    <w:p w14:paraId="484435F3" w14:textId="77777777" w:rsidR="005F1D38" w:rsidRPr="005F1D38" w:rsidRDefault="005F1D38" w:rsidP="005F1D38">
      <w:pPr>
        <w:pStyle w:val="ListParagraph"/>
        <w:ind w:left="1077"/>
        <w:contextualSpacing w:val="0"/>
      </w:pPr>
    </w:p>
    <w:p w14:paraId="7BD67527" w14:textId="77777777" w:rsidR="005F1D38" w:rsidRDefault="005F1D38" w:rsidP="005F1D38">
      <w:pPr>
        <w:spacing w:before="0" w:after="160"/>
        <w:rPr>
          <w:highlight w:val="yellow"/>
        </w:rPr>
      </w:pPr>
      <w:r>
        <w:rPr>
          <w:highlight w:val="yellow"/>
        </w:rPr>
        <w:br w:type="page"/>
      </w:r>
    </w:p>
    <w:p w14:paraId="6D595D1D" w14:textId="77777777" w:rsidR="00F72296" w:rsidRDefault="00417D9D" w:rsidP="00417D9D">
      <w:pPr>
        <w:pStyle w:val="Heading1"/>
      </w:pPr>
      <w:bookmarkStart w:id="1" w:name="_Toc516156320"/>
      <w:r w:rsidRPr="00417D9D">
        <w:lastRenderedPageBreak/>
        <w:t>2. Scope of Evidence</w:t>
      </w:r>
      <w:bookmarkEnd w:id="1"/>
    </w:p>
    <w:p w14:paraId="18561CCC" w14:textId="77777777" w:rsidR="00F72296" w:rsidRDefault="00F72296" w:rsidP="00F72296">
      <w:r>
        <w:t>2.1        In my evidence I will</w:t>
      </w:r>
      <w:r w:rsidR="006D4428">
        <w:t>:</w:t>
      </w:r>
    </w:p>
    <w:p w14:paraId="3A9B69F1" w14:textId="77777777" w:rsidR="00F72296" w:rsidRDefault="00F72296" w:rsidP="001771CD">
      <w:pPr>
        <w:ind w:left="720"/>
      </w:pPr>
      <w:r>
        <w:t>I.      Describe the structure of the Developer and its arrangements with the Council</w:t>
      </w:r>
    </w:p>
    <w:p w14:paraId="773C265A" w14:textId="77777777" w:rsidR="00F72296" w:rsidRDefault="00F72296" w:rsidP="001771CD">
      <w:pPr>
        <w:ind w:left="720"/>
      </w:pPr>
      <w:r>
        <w:t>II.      Describe the experience of the Developer</w:t>
      </w:r>
    </w:p>
    <w:p w14:paraId="599848CC" w14:textId="77777777" w:rsidR="00F72296" w:rsidRDefault="00F72296" w:rsidP="001771CD">
      <w:pPr>
        <w:ind w:left="720"/>
      </w:pPr>
      <w:r>
        <w:t>III.      Describe the Scheme and the project phasing</w:t>
      </w:r>
    </w:p>
    <w:p w14:paraId="422DAEEC" w14:textId="77777777" w:rsidR="00F72296" w:rsidRDefault="00F72296" w:rsidP="001771CD">
      <w:pPr>
        <w:ind w:left="720"/>
      </w:pPr>
      <w:r>
        <w:t>IV.      Confirm the Developer’s commitment to delivery</w:t>
      </w:r>
    </w:p>
    <w:p w14:paraId="6D9C7464" w14:textId="77777777" w:rsidR="006D4428" w:rsidRDefault="006D4428" w:rsidP="006D4428"/>
    <w:p w14:paraId="262A064F" w14:textId="77777777" w:rsidR="006D4428" w:rsidRDefault="006D4428" w:rsidP="006D4428">
      <w:pPr>
        <w:tabs>
          <w:tab w:val="left" w:pos="3310"/>
        </w:tabs>
      </w:pPr>
      <w:r>
        <w:tab/>
      </w:r>
    </w:p>
    <w:p w14:paraId="3540C06B" w14:textId="77777777" w:rsidR="006D4428" w:rsidRDefault="006D4428">
      <w:pPr>
        <w:spacing w:before="0" w:after="160"/>
      </w:pPr>
      <w:r>
        <w:br w:type="page"/>
      </w:r>
    </w:p>
    <w:p w14:paraId="102299CC" w14:textId="77777777" w:rsidR="00F72296" w:rsidRDefault="006D4428" w:rsidP="006D4428">
      <w:pPr>
        <w:pStyle w:val="Heading1"/>
      </w:pPr>
      <w:bookmarkStart w:id="2" w:name="_Toc516156321"/>
      <w:r>
        <w:lastRenderedPageBreak/>
        <w:t>3. The Developer</w:t>
      </w:r>
      <w:bookmarkEnd w:id="2"/>
    </w:p>
    <w:p w14:paraId="1A72E12E" w14:textId="77777777" w:rsidR="001771CD" w:rsidRDefault="001771CD" w:rsidP="001771CD">
      <w:pPr>
        <w:ind w:left="720" w:hanging="720"/>
      </w:pPr>
      <w:r>
        <w:t>3.1</w:t>
      </w:r>
      <w:r>
        <w:tab/>
        <w:t xml:space="preserve">The Regeneration Project is being and will continue to be delivered by the Council’s development partner, New Granville Limited Liability Partnership, (the Developer), a consortium of </w:t>
      </w:r>
      <w:proofErr w:type="spellStart"/>
      <w:r>
        <w:t>Mulalley</w:t>
      </w:r>
      <w:proofErr w:type="spellEnd"/>
      <w:r>
        <w:t xml:space="preserve"> &amp; Company Limited and CHA Ventures Limited.</w:t>
      </w:r>
    </w:p>
    <w:p w14:paraId="5FD050C3" w14:textId="33288E31" w:rsidR="00D4013F" w:rsidRDefault="001771CD" w:rsidP="00900A27">
      <w:pPr>
        <w:ind w:left="720" w:hanging="720"/>
        <w:rPr>
          <w:color w:val="C00000"/>
        </w:rPr>
      </w:pPr>
      <w:r>
        <w:t>3.2</w:t>
      </w:r>
      <w:r>
        <w:tab/>
      </w:r>
      <w:r w:rsidR="0004595A" w:rsidRPr="000F71CC">
        <w:t xml:space="preserve">New </w:t>
      </w:r>
      <w:r w:rsidR="00D4013F" w:rsidRPr="000F71CC">
        <w:t xml:space="preserve">Granville Limited </w:t>
      </w:r>
      <w:r w:rsidR="0004595A" w:rsidRPr="000F71CC">
        <w:t xml:space="preserve">is formed of two partners, </w:t>
      </w:r>
      <w:proofErr w:type="spellStart"/>
      <w:r w:rsidR="0004595A" w:rsidRPr="000F71CC">
        <w:t>Mulalley</w:t>
      </w:r>
      <w:proofErr w:type="spellEnd"/>
      <w:r w:rsidR="0004595A" w:rsidRPr="000F71CC">
        <w:t xml:space="preserve"> and One Housing Group. </w:t>
      </w:r>
      <w:proofErr w:type="spellStart"/>
      <w:r w:rsidR="00D4013F" w:rsidRPr="000F71CC">
        <w:t>Mulalley</w:t>
      </w:r>
      <w:proofErr w:type="spellEnd"/>
      <w:r w:rsidR="00D4013F" w:rsidRPr="000F71CC">
        <w:t xml:space="preserve"> is the construction arm subsidiary of </w:t>
      </w:r>
      <w:proofErr w:type="spellStart"/>
      <w:r w:rsidR="00D4013F" w:rsidRPr="000F71CC">
        <w:t>Sherrygreen</w:t>
      </w:r>
      <w:proofErr w:type="spellEnd"/>
      <w:r w:rsidR="00D4013F" w:rsidRPr="000F71CC">
        <w:t xml:space="preserve"> </w:t>
      </w:r>
      <w:r w:rsidR="00852E0A" w:rsidRPr="000F71CC">
        <w:t>Limited.</w:t>
      </w:r>
      <w:r w:rsidR="001405ED" w:rsidRPr="000F71CC">
        <w:t xml:space="preserve">  One Housing Group is a registered provider of affordable housing.  </w:t>
      </w:r>
      <w:proofErr w:type="spellStart"/>
      <w:r w:rsidR="001405ED" w:rsidRPr="000F71CC">
        <w:t>Mulalley</w:t>
      </w:r>
      <w:proofErr w:type="spellEnd"/>
      <w:r w:rsidR="001405ED" w:rsidRPr="000F71CC">
        <w:t xml:space="preserve"> and One Housing Group have formed a joint venture to deliver this and other regeneration projects in London.  This experience is described below.</w:t>
      </w:r>
    </w:p>
    <w:p w14:paraId="443572C9" w14:textId="741A8AB4" w:rsidR="0004595A" w:rsidRDefault="000F71CC" w:rsidP="00900A27">
      <w:pPr>
        <w:ind w:left="720" w:hanging="720"/>
      </w:pPr>
      <w:r>
        <w:rPr>
          <w:color w:val="C00000"/>
        </w:rPr>
        <w:t>3.3</w:t>
      </w:r>
      <w:r w:rsidR="00D4013F">
        <w:rPr>
          <w:color w:val="C00000"/>
        </w:rPr>
        <w:tab/>
      </w:r>
      <w:r w:rsidR="0004595A" w:rsidRPr="00F52656">
        <w:t>This proof</w:t>
      </w:r>
      <w:r w:rsidR="00D4013F">
        <w:t xml:space="preserve"> will</w:t>
      </w:r>
      <w:r w:rsidR="0004595A" w:rsidRPr="00F52656">
        <w:t xml:space="preserve"> demonstrate</w:t>
      </w:r>
      <w:r w:rsidR="0004595A" w:rsidRPr="00D60744">
        <w:t xml:space="preserve"> </w:t>
      </w:r>
      <w:r w:rsidR="0004595A" w:rsidRPr="00F52656">
        <w:t xml:space="preserve">the financial credentials </w:t>
      </w:r>
      <w:r w:rsidR="0004595A">
        <w:t xml:space="preserve">and experience </w:t>
      </w:r>
      <w:r w:rsidR="0004595A" w:rsidRPr="00F52656">
        <w:t>of each partner, supporting the expectation of redevelopment within programmed timescales agreed with the Council.</w:t>
      </w:r>
    </w:p>
    <w:p w14:paraId="50FFA906" w14:textId="18472111" w:rsidR="00D4013F" w:rsidRDefault="00D4013F" w:rsidP="000F71CC">
      <w:pPr>
        <w:ind w:left="720" w:hanging="720"/>
      </w:pPr>
      <w:r>
        <w:t>3.</w:t>
      </w:r>
      <w:r w:rsidR="000F71CC">
        <w:t>4</w:t>
      </w:r>
      <w:r>
        <w:tab/>
        <w:t xml:space="preserve">The </w:t>
      </w:r>
      <w:r w:rsidR="00936D93">
        <w:t>joint venture</w:t>
      </w:r>
      <w:r>
        <w:t xml:space="preserve"> agreement was entered into on </w:t>
      </w:r>
      <w:r w:rsidR="00AA54EF">
        <w:t>19 December 201</w:t>
      </w:r>
      <w:r w:rsidR="00792732">
        <w:t>3</w:t>
      </w:r>
      <w:r>
        <w:t>.  It is a comm</w:t>
      </w:r>
      <w:r w:rsidR="000F71CC">
        <w:t>ercially confidential agreement, but in essence</w:t>
      </w:r>
      <w:r w:rsidR="00662C7D">
        <w:t>,</w:t>
      </w:r>
      <w:r w:rsidR="000F71CC">
        <w:t xml:space="preserve"> it</w:t>
      </w:r>
      <w:r w:rsidR="00D10ADE">
        <w:t xml:space="preserve"> outline</w:t>
      </w:r>
      <w:r w:rsidR="000F71CC">
        <w:t>s</w:t>
      </w:r>
      <w:r w:rsidR="00D10ADE">
        <w:t xml:space="preserve"> the structure of the LLP and establish</w:t>
      </w:r>
      <w:r w:rsidR="000F71CC">
        <w:t>es</w:t>
      </w:r>
      <w:r w:rsidR="00D10ADE">
        <w:t xml:space="preserve"> a process for funding the development</w:t>
      </w:r>
      <w:r w:rsidR="000F71CC">
        <w:t>.</w:t>
      </w:r>
    </w:p>
    <w:p w14:paraId="41067721" w14:textId="24EA83D0" w:rsidR="00D4013F" w:rsidRDefault="001405ED">
      <w:pPr>
        <w:ind w:left="720" w:hanging="720"/>
      </w:pPr>
      <w:r>
        <w:t>3.</w:t>
      </w:r>
      <w:r w:rsidR="000F71CC">
        <w:t>5</w:t>
      </w:r>
      <w:r>
        <w:tab/>
      </w:r>
      <w:r w:rsidR="00D4013F">
        <w:t>There is nothing in the joint venture agreement which in the ordinary course of business will affect the delivery of the Phase 2 Scheme.</w:t>
      </w:r>
    </w:p>
    <w:p w14:paraId="690E425F" w14:textId="7C6D0364" w:rsidR="00B4248A" w:rsidRDefault="00B4248A" w:rsidP="00900A27">
      <w:pPr>
        <w:ind w:left="720" w:hanging="720"/>
      </w:pPr>
      <w:r>
        <w:t>3.</w:t>
      </w:r>
      <w:r w:rsidR="000F71CC">
        <w:t>6</w:t>
      </w:r>
      <w:r>
        <w:tab/>
      </w:r>
      <w:r w:rsidR="001405ED">
        <w:t>The eviden</w:t>
      </w:r>
      <w:r w:rsidR="0084699E">
        <w:t>ce</w:t>
      </w:r>
      <w:r w:rsidR="001405ED">
        <w:t xml:space="preserve"> below confirms that </w:t>
      </w:r>
      <w:r w:rsidRPr="00D60744">
        <w:t xml:space="preserve">New </w:t>
      </w:r>
      <w:r>
        <w:t>Granville</w:t>
      </w:r>
      <w:r w:rsidRPr="00D60744">
        <w:t xml:space="preserve"> LLP is in </w:t>
      </w:r>
      <w:r w:rsidR="001405ED">
        <w:t>a</w:t>
      </w:r>
      <w:r w:rsidRPr="00D60744">
        <w:t xml:space="preserve"> </w:t>
      </w:r>
      <w:r w:rsidRPr="00853BC9">
        <w:t>very secure position</w:t>
      </w:r>
      <w:r w:rsidR="00936D93">
        <w:t>,</w:t>
      </w:r>
      <w:r w:rsidRPr="00853BC9">
        <w:t xml:space="preserve"> being funded </w:t>
      </w:r>
      <w:r w:rsidR="001405ED">
        <w:t xml:space="preserve">as it is </w:t>
      </w:r>
      <w:r w:rsidRPr="00F52656">
        <w:t>through</w:t>
      </w:r>
      <w:r w:rsidRPr="00D60744">
        <w:t xml:space="preserve"> two</w:t>
      </w:r>
      <w:r w:rsidRPr="00853BC9">
        <w:t xml:space="preserve"> large established companies</w:t>
      </w:r>
      <w:r w:rsidRPr="00F52656">
        <w:t xml:space="preserve"> </w:t>
      </w:r>
      <w:r w:rsidR="00936D93">
        <w:t xml:space="preserve">that are active </w:t>
      </w:r>
      <w:r w:rsidRPr="00F52656">
        <w:t>in the development and regeneration sectors</w:t>
      </w:r>
      <w:r w:rsidRPr="00D60744">
        <w:t xml:space="preserve"> (</w:t>
      </w:r>
      <w:proofErr w:type="spellStart"/>
      <w:r w:rsidRPr="00D60744">
        <w:t>Mulalley</w:t>
      </w:r>
      <w:proofErr w:type="spellEnd"/>
      <w:r w:rsidRPr="00853BC9">
        <w:t xml:space="preserve"> and One Housing Group) provid</w:t>
      </w:r>
      <w:r w:rsidRPr="00F52656">
        <w:t>ing</w:t>
      </w:r>
      <w:r w:rsidRPr="00D60744">
        <w:t xml:space="preserve"> </w:t>
      </w:r>
      <w:r w:rsidRPr="00853BC9">
        <w:t xml:space="preserve">an extremely </w:t>
      </w:r>
      <w:r w:rsidRPr="00F52656">
        <w:t xml:space="preserve">stable and </w:t>
      </w:r>
      <w:r w:rsidRPr="00D60744">
        <w:t xml:space="preserve">secure financial footing. </w:t>
      </w:r>
    </w:p>
    <w:p w14:paraId="631525A1" w14:textId="77777777" w:rsidR="00B4248A" w:rsidRPr="00B4248A" w:rsidRDefault="00B4248A" w:rsidP="00B4248A">
      <w:pPr>
        <w:rPr>
          <w:b/>
          <w:u w:val="single"/>
        </w:rPr>
      </w:pPr>
      <w:r w:rsidRPr="00B4248A">
        <w:rPr>
          <w:b/>
          <w:u w:val="single"/>
        </w:rPr>
        <w:t>FINANCIAL POSITION</w:t>
      </w:r>
    </w:p>
    <w:p w14:paraId="3D5179A4" w14:textId="77777777" w:rsidR="00B4248A" w:rsidRPr="00B4248A" w:rsidRDefault="00B4248A" w:rsidP="00B4248A">
      <w:pPr>
        <w:rPr>
          <w:b/>
        </w:rPr>
      </w:pPr>
      <w:proofErr w:type="spellStart"/>
      <w:r w:rsidRPr="00B4248A">
        <w:rPr>
          <w:b/>
        </w:rPr>
        <w:t>Mulalley</w:t>
      </w:r>
      <w:proofErr w:type="spellEnd"/>
    </w:p>
    <w:p w14:paraId="79B44E7C" w14:textId="03CC919E" w:rsidR="00B4248A" w:rsidRPr="00FD19FE" w:rsidRDefault="00B4248A" w:rsidP="00B4248A">
      <w:pPr>
        <w:ind w:left="720" w:hanging="720"/>
      </w:pPr>
      <w:r w:rsidRPr="00FD19FE">
        <w:t>3.</w:t>
      </w:r>
      <w:r w:rsidR="000F71CC">
        <w:t>7</w:t>
      </w:r>
      <w:r w:rsidRPr="00FD19FE">
        <w:tab/>
      </w:r>
      <w:proofErr w:type="spellStart"/>
      <w:r w:rsidR="00291F96">
        <w:t>Mulalley</w:t>
      </w:r>
      <w:proofErr w:type="spellEnd"/>
      <w:r w:rsidR="00291F96">
        <w:t xml:space="preserve"> is part of the </w:t>
      </w:r>
      <w:proofErr w:type="spellStart"/>
      <w:r w:rsidR="00291F96">
        <w:t>Sherrygreen</w:t>
      </w:r>
      <w:proofErr w:type="spellEnd"/>
      <w:r w:rsidR="00291F96">
        <w:t xml:space="preserve"> Group of companies. </w:t>
      </w:r>
      <w:proofErr w:type="spellStart"/>
      <w:r w:rsidR="00291F96">
        <w:t>Mulalley's</w:t>
      </w:r>
      <w:proofErr w:type="spellEnd"/>
      <w:r w:rsidR="00291F96">
        <w:t xml:space="preserve"> Board is prudent and risk adverse. In order to ensure no unforeseen “worst case” scenario could impact on Group Trading, it has secured a Rolling Credit Facility of £35m, allowing access to additional funds without requiring any third-party authorisation, supervision or security.</w:t>
      </w:r>
      <w:r w:rsidRPr="00FD19FE">
        <w:t xml:space="preserve"> </w:t>
      </w:r>
    </w:p>
    <w:p w14:paraId="1533D6F2" w14:textId="1D2528A9" w:rsidR="00B4248A" w:rsidRPr="00FD19FE" w:rsidRDefault="00B4248A" w:rsidP="00B4248A">
      <w:pPr>
        <w:ind w:left="720" w:hanging="720"/>
      </w:pPr>
      <w:r w:rsidRPr="00FD19FE">
        <w:t>3.</w:t>
      </w:r>
      <w:r w:rsidR="000F71CC">
        <w:t>8</w:t>
      </w:r>
      <w:r w:rsidRPr="00FD19FE">
        <w:tab/>
      </w:r>
      <w:r w:rsidR="0015740E">
        <w:t>Importantly, the latest balance sheet strength increased to nearly £99m (2017) and will still total a minimum of £100m in 2018. Cashflow from activities is continuously increasing and trading continues to be strong and profitable.</w:t>
      </w:r>
    </w:p>
    <w:p w14:paraId="00C9CAF9" w14:textId="4C10C01F" w:rsidR="00B4248A" w:rsidRPr="000F2E6F" w:rsidRDefault="00B4248A" w:rsidP="00B4248A">
      <w:pPr>
        <w:ind w:left="720" w:hanging="720"/>
      </w:pPr>
      <w:r w:rsidRPr="00FD19FE">
        <w:t>3.</w:t>
      </w:r>
      <w:r w:rsidR="000F71CC">
        <w:t>9</w:t>
      </w:r>
      <w:r w:rsidRPr="00FD19FE">
        <w:tab/>
      </w:r>
      <w:r w:rsidR="0015740E">
        <w:t>It is worth noting the quality of the Group’s assets, with a high proportion of fixed assets including £56,199,000, of investment properties let to a range of good quality covenanted tenants including HMG, Jewson’s and NatWest Bank Plc.</w:t>
      </w:r>
    </w:p>
    <w:p w14:paraId="085270B6" w14:textId="302614CE" w:rsidR="000F71CC" w:rsidRDefault="000F71CC" w:rsidP="00B4248A">
      <w:pPr>
        <w:rPr>
          <w:b/>
        </w:rPr>
      </w:pPr>
      <w:bookmarkStart w:id="3" w:name="_Hlk514917364"/>
    </w:p>
    <w:p w14:paraId="3FF8EB97" w14:textId="77777777" w:rsidR="000F71CC" w:rsidRDefault="000F71CC" w:rsidP="00B4248A">
      <w:pPr>
        <w:rPr>
          <w:b/>
        </w:rPr>
      </w:pPr>
    </w:p>
    <w:p w14:paraId="587C69C1" w14:textId="21BA6F74" w:rsidR="00B4248A" w:rsidRPr="00B4248A" w:rsidRDefault="00B4248A" w:rsidP="00B4248A">
      <w:pPr>
        <w:rPr>
          <w:b/>
        </w:rPr>
      </w:pPr>
      <w:r w:rsidRPr="00B4248A">
        <w:rPr>
          <w:b/>
        </w:rPr>
        <w:lastRenderedPageBreak/>
        <w:t>One Housing Group</w:t>
      </w:r>
    </w:p>
    <w:p w14:paraId="37F1ECE7" w14:textId="72145480" w:rsidR="00B4248A" w:rsidRPr="005049F1" w:rsidRDefault="00B4248A" w:rsidP="00B4248A">
      <w:pPr>
        <w:ind w:left="720" w:hanging="720"/>
      </w:pPr>
      <w:r>
        <w:t>3</w:t>
      </w:r>
      <w:r w:rsidRPr="00B1659A">
        <w:t>.</w:t>
      </w:r>
      <w:r w:rsidR="000F71CC">
        <w:t>10</w:t>
      </w:r>
      <w:r w:rsidRPr="00B1659A">
        <w:tab/>
      </w:r>
      <w:r w:rsidRPr="005049F1">
        <w:t>One Housing Group funds its development schemes through a mix of (principally) bi-lateral agreements with lenders and two participative group bond issues.  Additionally, the Group uses retained cash surpluses and grant funding.</w:t>
      </w:r>
    </w:p>
    <w:p w14:paraId="571A2C6A" w14:textId="0761393A" w:rsidR="00B4248A" w:rsidRPr="005049F1" w:rsidRDefault="00B4248A" w:rsidP="00B4248A">
      <w:pPr>
        <w:ind w:left="720" w:hanging="720"/>
      </w:pPr>
      <w:r w:rsidRPr="005049F1">
        <w:t>3.</w:t>
      </w:r>
      <w:r w:rsidR="000F71CC">
        <w:t>11</w:t>
      </w:r>
      <w:r w:rsidRPr="005049F1">
        <w:tab/>
        <w:t>The Group also raises and uses funds through separate Special Purpose Vehicles (SPVs) for scheme specific funding and also utilises joint venture arrangements with partners.</w:t>
      </w:r>
    </w:p>
    <w:p w14:paraId="01D2C03B" w14:textId="7739F4D1" w:rsidR="00B1659A" w:rsidRPr="00B1659A" w:rsidRDefault="00B4248A" w:rsidP="000F71CC">
      <w:pPr>
        <w:tabs>
          <w:tab w:val="left" w:pos="1140"/>
        </w:tabs>
        <w:ind w:left="720" w:hanging="720"/>
      </w:pPr>
      <w:r w:rsidRPr="005049F1">
        <w:t>3.</w:t>
      </w:r>
      <w:r w:rsidR="000F71CC">
        <w:t>12</w:t>
      </w:r>
      <w:r w:rsidR="00B1659A">
        <w:t xml:space="preserve"> </w:t>
      </w:r>
      <w:r w:rsidR="00B1659A">
        <w:tab/>
      </w:r>
      <w:r w:rsidR="00B1659A" w:rsidRPr="00B1659A">
        <w:t>At the start of the 2016-17 financial year (which runs from April to March) the Group had credit and cash facilities totalling £902m of which £61m was undrawn</w:t>
      </w:r>
    </w:p>
    <w:p w14:paraId="663E90FB" w14:textId="084E2754" w:rsidR="00B1659A" w:rsidRPr="00B1659A" w:rsidRDefault="00B4248A" w:rsidP="005049F1">
      <w:pPr>
        <w:tabs>
          <w:tab w:val="left" w:pos="1140"/>
        </w:tabs>
        <w:ind w:left="720" w:hanging="720"/>
      </w:pPr>
      <w:r w:rsidRPr="005049F1">
        <w:t>3.1</w:t>
      </w:r>
      <w:r w:rsidR="000F71CC">
        <w:t>3</w:t>
      </w:r>
      <w:r w:rsidRPr="00CE0F79">
        <w:tab/>
      </w:r>
      <w:r w:rsidR="00B1659A" w:rsidRPr="00B1659A">
        <w:t>In the past two years 2015-16 and 2016-17 the Group has arranged new borrowings totalling £150m</w:t>
      </w:r>
      <w:r w:rsidR="003A3149">
        <w:t xml:space="preserve"> </w:t>
      </w:r>
      <w:r w:rsidR="00B1659A" w:rsidRPr="00B1659A">
        <w:t>with a separate £80m for the SPV’s.  This financial year it will finalise new borrowings of £185m, with a further combined total of circa £26m in separate lines of facilities for SPVs.</w:t>
      </w:r>
    </w:p>
    <w:p w14:paraId="47392BEB" w14:textId="4F77E0E5" w:rsidR="00B4248A" w:rsidRPr="009D5AF1" w:rsidRDefault="00B4248A" w:rsidP="00B1659A">
      <w:pPr>
        <w:ind w:left="720" w:hanging="720"/>
      </w:pPr>
      <w:r w:rsidRPr="005049F1">
        <w:t>3.1</w:t>
      </w:r>
      <w:r w:rsidR="000F71CC">
        <w:t>4</w:t>
      </w:r>
      <w:r w:rsidRPr="005049F1">
        <w:t xml:space="preserve"> </w:t>
      </w:r>
      <w:r w:rsidRPr="005049F1">
        <w:tab/>
      </w:r>
      <w:r w:rsidR="00B1659A" w:rsidRPr="00B1659A">
        <w:t>The financial strength of One Housing Group is reflected in its financial accounts showing (to March 2017) a turnover of £256m an operating surplus of £80m and a bottom line surplus of £82m with a balance sheet showing total net assets of £2bn</w:t>
      </w:r>
      <w:r w:rsidRPr="005049F1">
        <w:t>.</w:t>
      </w:r>
    </w:p>
    <w:bookmarkEnd w:id="3"/>
    <w:p w14:paraId="7756BAD9" w14:textId="77777777" w:rsidR="00B4248A" w:rsidRPr="00D60744" w:rsidRDefault="00B4248A" w:rsidP="00B4248A">
      <w:r w:rsidRPr="00F52656">
        <w:rPr>
          <w:b/>
          <w:u w:val="single"/>
        </w:rPr>
        <w:t xml:space="preserve">EXPERIENCE AS DEVELOPERS </w:t>
      </w:r>
    </w:p>
    <w:p w14:paraId="554B06EC" w14:textId="1CECCA0A" w:rsidR="00B4248A" w:rsidRPr="00F52656" w:rsidRDefault="009C60F1" w:rsidP="009C60F1">
      <w:pPr>
        <w:ind w:left="720" w:hanging="720"/>
      </w:pPr>
      <w:r>
        <w:t>3.1</w:t>
      </w:r>
      <w:r w:rsidR="000F71CC">
        <w:t>5</w:t>
      </w:r>
      <w:r>
        <w:tab/>
      </w:r>
      <w:proofErr w:type="spellStart"/>
      <w:r w:rsidR="00B4248A" w:rsidRPr="00D370A7">
        <w:t>Mulalley</w:t>
      </w:r>
      <w:proofErr w:type="spellEnd"/>
      <w:r w:rsidR="00B4248A" w:rsidRPr="00D370A7">
        <w:t xml:space="preserve"> and One Housing Group have </w:t>
      </w:r>
      <w:r w:rsidR="00B4248A" w:rsidRPr="00F52656">
        <w:t xml:space="preserve">substantial </w:t>
      </w:r>
      <w:r w:rsidR="00B4248A" w:rsidRPr="00D60744">
        <w:t xml:space="preserve">experience </w:t>
      </w:r>
      <w:r w:rsidR="00B4248A" w:rsidRPr="00F52656">
        <w:t xml:space="preserve">as developers, both </w:t>
      </w:r>
      <w:r w:rsidR="00B4248A" w:rsidRPr="00D60744">
        <w:t xml:space="preserve">individually </w:t>
      </w:r>
      <w:r w:rsidR="00B4248A" w:rsidRPr="00F52656">
        <w:t>a</w:t>
      </w:r>
      <w:r w:rsidR="00B4248A" w:rsidRPr="00D60744">
        <w:t xml:space="preserve">nd as joint development </w:t>
      </w:r>
      <w:r w:rsidR="00B4248A" w:rsidRPr="00F52656">
        <w:t>p</w:t>
      </w:r>
      <w:r w:rsidR="00B4248A" w:rsidRPr="00D60744">
        <w:t>artner</w:t>
      </w:r>
      <w:r w:rsidR="00B4248A" w:rsidRPr="00F52656">
        <w:t xml:space="preserve">s. </w:t>
      </w:r>
    </w:p>
    <w:p w14:paraId="3A5581BF" w14:textId="02ED62D7" w:rsidR="00B4248A" w:rsidRDefault="009C60F1" w:rsidP="009C60F1">
      <w:pPr>
        <w:ind w:left="720" w:hanging="720"/>
      </w:pPr>
      <w:r>
        <w:t>3.1</w:t>
      </w:r>
      <w:r w:rsidR="000F71CC">
        <w:t>6</w:t>
      </w:r>
      <w:r>
        <w:tab/>
      </w:r>
      <w:r w:rsidR="00B4248A" w:rsidRPr="00D60744">
        <w:t xml:space="preserve">In addition to the joint experience listed </w:t>
      </w:r>
      <w:r w:rsidR="00B4248A">
        <w:t xml:space="preserve">below the two companies are currently partnering on the New Ladderswood Estate Regeneration, which will deliver 517 new houses and apartments within </w:t>
      </w:r>
      <w:r>
        <w:t>the Ladderswood estate in the London Borough of Enfield, with a gross development income of approximately £200 million.</w:t>
      </w:r>
    </w:p>
    <w:p w14:paraId="7D5F5972" w14:textId="77777777" w:rsidR="00B4248A" w:rsidRPr="00F52656" w:rsidRDefault="00B4248A" w:rsidP="00B4248A">
      <w:pPr>
        <w:rPr>
          <w:b/>
          <w:color w:val="C00000"/>
        </w:rPr>
      </w:pPr>
      <w:proofErr w:type="spellStart"/>
      <w:r w:rsidRPr="00F52656">
        <w:rPr>
          <w:b/>
        </w:rPr>
        <w:t>Mulalley</w:t>
      </w:r>
      <w:proofErr w:type="spellEnd"/>
    </w:p>
    <w:p w14:paraId="4DF75B2E" w14:textId="72B1C77B" w:rsidR="00B4248A" w:rsidRPr="00D60744" w:rsidRDefault="009C60F1" w:rsidP="009C60F1">
      <w:pPr>
        <w:ind w:left="720" w:hanging="720"/>
      </w:pPr>
      <w:r>
        <w:t>3.1</w:t>
      </w:r>
      <w:r w:rsidR="000F71CC">
        <w:t>7</w:t>
      </w:r>
      <w:r>
        <w:tab/>
      </w:r>
      <w:r w:rsidR="00B4248A" w:rsidRPr="00BE2432">
        <w:t xml:space="preserve">The current </w:t>
      </w:r>
      <w:r w:rsidR="008014ED">
        <w:t xml:space="preserve">combined </w:t>
      </w:r>
      <w:r w:rsidR="00B4248A" w:rsidRPr="00BE2432">
        <w:t>development pipeline</w:t>
      </w:r>
      <w:r w:rsidR="008014ED">
        <w:t xml:space="preserve"> for </w:t>
      </w:r>
      <w:proofErr w:type="spellStart"/>
      <w:r w:rsidR="008014ED">
        <w:t>Mulalley</w:t>
      </w:r>
      <w:proofErr w:type="spellEnd"/>
      <w:r w:rsidR="008014ED">
        <w:t xml:space="preserve"> &amp; </w:t>
      </w:r>
      <w:proofErr w:type="spellStart"/>
      <w:r w:rsidR="008014ED">
        <w:t>Sherrygreen</w:t>
      </w:r>
      <w:proofErr w:type="spellEnd"/>
      <w:r w:rsidR="008014ED">
        <w:t xml:space="preserve"> Homes</w:t>
      </w:r>
      <w:r w:rsidR="00B4248A" w:rsidRPr="00BE2432">
        <w:t xml:space="preserve"> comprises </w:t>
      </w:r>
      <w:r w:rsidR="00BE2432" w:rsidRPr="00BE2432">
        <w:t>1,400</w:t>
      </w:r>
      <w:r w:rsidR="00B4248A" w:rsidRPr="00BE2432">
        <w:t xml:space="preserve"> new homes, of which 1,000 are for private sale.</w:t>
      </w:r>
      <w:r w:rsidR="001405ED">
        <w:t xml:space="preserve"> </w:t>
      </w:r>
      <w:r w:rsidR="00B4248A" w:rsidRPr="00BE2432">
        <w:t xml:space="preserve"> New sites, joint ventures and development opportunities are continually being sought.</w:t>
      </w:r>
    </w:p>
    <w:p w14:paraId="2571DBCA" w14:textId="7131DEAC" w:rsidR="00B4248A" w:rsidRPr="00F52656" w:rsidRDefault="009C60F1" w:rsidP="005049F1">
      <w:pPr>
        <w:ind w:left="720" w:hanging="720"/>
      </w:pPr>
      <w:r>
        <w:t>3.1</w:t>
      </w:r>
      <w:r w:rsidR="000F71CC">
        <w:t>8</w:t>
      </w:r>
      <w:r>
        <w:tab/>
      </w:r>
      <w:r w:rsidR="00B4248A" w:rsidRPr="00BF6F5C">
        <w:t xml:space="preserve">Examples of </w:t>
      </w:r>
      <w:r w:rsidR="00B4248A" w:rsidRPr="00F52656">
        <w:t xml:space="preserve">current </w:t>
      </w:r>
      <w:r w:rsidR="00B4248A" w:rsidRPr="00D60744">
        <w:t xml:space="preserve">schemes, </w:t>
      </w:r>
      <w:r w:rsidR="00B4248A" w:rsidRPr="00F52656">
        <w:t xml:space="preserve">which </w:t>
      </w:r>
      <w:r w:rsidR="00B4248A" w:rsidRPr="00D60744">
        <w:t>demonstrat</w:t>
      </w:r>
      <w:r w:rsidR="00B4248A" w:rsidRPr="00F52656">
        <w:t xml:space="preserve">e </w:t>
      </w:r>
      <w:proofErr w:type="spellStart"/>
      <w:r w:rsidR="001405ED">
        <w:t>Mulalley's</w:t>
      </w:r>
      <w:proofErr w:type="spellEnd"/>
      <w:r w:rsidR="001405ED">
        <w:t xml:space="preserve"> </w:t>
      </w:r>
      <w:r w:rsidR="00B4248A" w:rsidRPr="00F52656">
        <w:t>development experience, include:</w:t>
      </w:r>
    </w:p>
    <w:p w14:paraId="1C099353" w14:textId="77777777" w:rsidR="00B4248A" w:rsidRPr="00097E3D" w:rsidRDefault="00FD19FE" w:rsidP="009C60F1">
      <w:pPr>
        <w:pStyle w:val="ListParagraph"/>
        <w:numPr>
          <w:ilvl w:val="0"/>
          <w:numId w:val="4"/>
        </w:numPr>
        <w:rPr>
          <w:b/>
        </w:rPr>
      </w:pPr>
      <w:r w:rsidRPr="00097E3D">
        <w:rPr>
          <w:b/>
        </w:rPr>
        <w:t>Amersham Vale</w:t>
      </w:r>
      <w:r w:rsidR="00B4248A" w:rsidRPr="00097E3D">
        <w:rPr>
          <w:b/>
        </w:rPr>
        <w:t xml:space="preserve"> – Lewisham - £</w:t>
      </w:r>
      <w:r w:rsidRPr="00097E3D">
        <w:rPr>
          <w:b/>
        </w:rPr>
        <w:t>35</w:t>
      </w:r>
      <w:r w:rsidR="00B4248A" w:rsidRPr="00097E3D">
        <w:rPr>
          <w:b/>
        </w:rPr>
        <w:t>m</w:t>
      </w:r>
    </w:p>
    <w:p w14:paraId="3665A0CF" w14:textId="724F4924" w:rsidR="00B4248A" w:rsidRDefault="00B4248A" w:rsidP="009C60F1">
      <w:pPr>
        <w:ind w:left="1080"/>
      </w:pPr>
      <w:r w:rsidRPr="00097E3D">
        <w:t xml:space="preserve">This involves the design and construction of </w:t>
      </w:r>
      <w:r w:rsidR="00FD19FE" w:rsidRPr="00097E3D">
        <w:t>120</w:t>
      </w:r>
      <w:r w:rsidRPr="00097E3D">
        <w:t xml:space="preserve"> mixed tenure new homes on </w:t>
      </w:r>
      <w:r w:rsidR="00FD19FE" w:rsidRPr="00097E3D">
        <w:t>a</w:t>
      </w:r>
      <w:r w:rsidRPr="00097E3D">
        <w:t xml:space="preserve"> former school site at Amersham Vale. A new park will also be delivered at Amersham Vale and retained by the Council for the benefit of</w:t>
      </w:r>
      <w:r w:rsidR="00097E3D" w:rsidRPr="00097E3D">
        <w:t xml:space="preserve"> the local community.  The site</w:t>
      </w:r>
      <w:r w:rsidRPr="00097E3D">
        <w:t xml:space="preserve"> form</w:t>
      </w:r>
      <w:r w:rsidR="001405ED">
        <w:t>s</w:t>
      </w:r>
      <w:r w:rsidRPr="00097E3D">
        <w:t xml:space="preserve"> part of a wider masterplan for Deptford Town Centre and a delivers a key objective for the Council (as the ongoing site operator) </w:t>
      </w:r>
      <w:r w:rsidR="00FD19FE" w:rsidRPr="00097E3D">
        <w:t>in achieving</w:t>
      </w:r>
      <w:r w:rsidRPr="00097E3D">
        <w:t xml:space="preserve"> a substantial land payment to repay some of its costs of developing earlier sites, including a new school and public library.</w:t>
      </w:r>
      <w:r w:rsidRPr="00D60744">
        <w:t xml:space="preserve"> </w:t>
      </w:r>
    </w:p>
    <w:p w14:paraId="73D6EDE0" w14:textId="77777777" w:rsidR="00B4248A" w:rsidRPr="009C60F1" w:rsidRDefault="00B4248A" w:rsidP="009C60F1">
      <w:pPr>
        <w:pStyle w:val="ListParagraph"/>
        <w:numPr>
          <w:ilvl w:val="0"/>
          <w:numId w:val="4"/>
        </w:numPr>
        <w:rPr>
          <w:b/>
        </w:rPr>
      </w:pPr>
      <w:r w:rsidRPr="009C60F1">
        <w:rPr>
          <w:b/>
        </w:rPr>
        <w:lastRenderedPageBreak/>
        <w:t>Essex Wharf – Waltham Forest - £37m</w:t>
      </w:r>
    </w:p>
    <w:p w14:paraId="1770B1EC" w14:textId="77777777" w:rsidR="00B4248A" w:rsidRPr="00BF6F5C" w:rsidRDefault="00B4248A" w:rsidP="009C60F1">
      <w:pPr>
        <w:ind w:left="1080"/>
      </w:pPr>
      <w:r w:rsidRPr="00D60744">
        <w:t xml:space="preserve">This </w:t>
      </w:r>
      <w:r w:rsidRPr="00F52656">
        <w:t>m</w:t>
      </w:r>
      <w:r w:rsidRPr="00D60744">
        <w:t xml:space="preserve">ixed </w:t>
      </w:r>
      <w:r w:rsidRPr="00F52656">
        <w:t>t</w:t>
      </w:r>
      <w:r w:rsidRPr="00D60744">
        <w:t xml:space="preserve">enure development provides 124 new homes at the edge of the new Olympic Park area, in the form of 87 Private Sale units and 37 Affordable Units, of which 9 </w:t>
      </w:r>
      <w:r w:rsidR="009C60F1">
        <w:t>were</w:t>
      </w:r>
      <w:r w:rsidRPr="00D60744">
        <w:t xml:space="preserve"> for Shared Ownership and 28 for Affordable Rent. The devel</w:t>
      </w:r>
      <w:r w:rsidR="009C60F1">
        <w:t>opment consisted</w:t>
      </w:r>
      <w:r w:rsidRPr="00BF6F5C">
        <w:t xml:space="preserve"> of four blocks, ranging from five to seven storeys, linked by a podium deck with semi basement </w:t>
      </w:r>
      <w:proofErr w:type="spellStart"/>
      <w:r w:rsidRPr="00BF6F5C">
        <w:t>undercroft</w:t>
      </w:r>
      <w:proofErr w:type="spellEnd"/>
      <w:r w:rsidRPr="00BF6F5C">
        <w:t xml:space="preserve"> car parking and associated servicing facilities.</w:t>
      </w:r>
    </w:p>
    <w:p w14:paraId="0A1D4E42" w14:textId="77777777" w:rsidR="00B4248A" w:rsidRPr="00BF6F5C" w:rsidRDefault="00B4248A" w:rsidP="009C60F1">
      <w:pPr>
        <w:pStyle w:val="ListParagraph"/>
        <w:numPr>
          <w:ilvl w:val="0"/>
          <w:numId w:val="4"/>
        </w:numPr>
      </w:pPr>
      <w:proofErr w:type="spellStart"/>
      <w:r w:rsidRPr="009C60F1">
        <w:rPr>
          <w:b/>
        </w:rPr>
        <w:t>Barnardos</w:t>
      </w:r>
      <w:proofErr w:type="spellEnd"/>
      <w:r w:rsidRPr="009C60F1">
        <w:rPr>
          <w:b/>
        </w:rPr>
        <w:t xml:space="preserve"> Garden Village – Barkingside - £38m</w:t>
      </w:r>
    </w:p>
    <w:p w14:paraId="214FDFE4" w14:textId="77777777" w:rsidR="00B4248A" w:rsidRPr="00BF6F5C" w:rsidRDefault="00B4248A" w:rsidP="009C60F1">
      <w:pPr>
        <w:ind w:left="1080"/>
      </w:pPr>
      <w:r w:rsidRPr="00BF6F5C">
        <w:t xml:space="preserve">The scheme comprises the redevelopment of land owned by the charity and </w:t>
      </w:r>
      <w:r w:rsidRPr="00F52656">
        <w:t>provide</w:t>
      </w:r>
      <w:r w:rsidR="009C60F1">
        <w:t>d</w:t>
      </w:r>
      <w:r w:rsidRPr="00D60744">
        <w:t xml:space="preserve"> 144 new homes ranging from 1-bed apartments to 4-bed family dwellings.</w:t>
      </w:r>
    </w:p>
    <w:p w14:paraId="104D0439" w14:textId="77777777" w:rsidR="00B4248A" w:rsidRPr="00D60744" w:rsidRDefault="00B4248A" w:rsidP="00B4248A">
      <w:pPr>
        <w:rPr>
          <w:b/>
        </w:rPr>
      </w:pPr>
      <w:bookmarkStart w:id="4" w:name="_Hlk514917394"/>
      <w:r w:rsidRPr="00D60744">
        <w:rPr>
          <w:b/>
        </w:rPr>
        <w:t>One Housing Group</w:t>
      </w:r>
    </w:p>
    <w:p w14:paraId="75A7C2BD" w14:textId="5765AAA4" w:rsidR="00B4248A" w:rsidRPr="00F52656" w:rsidRDefault="009C60F1" w:rsidP="009C60F1">
      <w:pPr>
        <w:ind w:left="720" w:hanging="720"/>
      </w:pPr>
      <w:r>
        <w:t>3.1</w:t>
      </w:r>
      <w:r w:rsidR="000F71CC">
        <w:t>9</w:t>
      </w:r>
      <w:r>
        <w:tab/>
      </w:r>
      <w:r w:rsidR="002815DD">
        <w:rPr>
          <w:color w:val="000000"/>
        </w:rPr>
        <w:t>One Housing Group (OHG) is a leading provider of housing, care and support across London and the South East managing over 16,000 homes in 26 London Boroughs and surrounding counties and providing care and support to over 5,000 customers. Of the existing homes, 8,799 are general needs affordable homes, 3</w:t>
      </w:r>
      <w:r w:rsidR="003A3149">
        <w:rPr>
          <w:color w:val="000000"/>
        </w:rPr>
        <w:t>,</w:t>
      </w:r>
      <w:r w:rsidR="002815DD">
        <w:rPr>
          <w:color w:val="000000"/>
        </w:rPr>
        <w:t>041 are leasehold, 1,992 are shared ownership, 2,268 are supported housing, 382 intermediate and keyworker, and 354 are market rent properties.</w:t>
      </w:r>
    </w:p>
    <w:p w14:paraId="3FE6CA2A" w14:textId="07D2ED46" w:rsidR="00B4248A" w:rsidRPr="00F52656" w:rsidRDefault="009C60F1" w:rsidP="009C60F1">
      <w:pPr>
        <w:ind w:left="720" w:hanging="720"/>
        <w:rPr>
          <w:rFonts w:cstheme="minorHAnsi"/>
        </w:rPr>
      </w:pPr>
      <w:r>
        <w:rPr>
          <w:rFonts w:cstheme="minorHAnsi"/>
        </w:rPr>
        <w:t>3.</w:t>
      </w:r>
      <w:r w:rsidR="000F71CC">
        <w:rPr>
          <w:rFonts w:cstheme="minorHAnsi"/>
        </w:rPr>
        <w:t>20</w:t>
      </w:r>
      <w:r>
        <w:rPr>
          <w:rFonts w:cstheme="minorHAnsi"/>
        </w:rPr>
        <w:tab/>
      </w:r>
      <w:r w:rsidR="002815DD">
        <w:t xml:space="preserve">The group have consistently achieved high housing outputs and are currently securing opportunities to build another 1,500 affordable </w:t>
      </w:r>
      <w:r w:rsidR="002815DD">
        <w:rPr>
          <w:color w:val="000000"/>
        </w:rPr>
        <w:t xml:space="preserve">homes by 2021. Over the </w:t>
      </w:r>
      <w:r w:rsidR="002815DD">
        <w:t>past three years they have completed construction of 446 private units, 340 shared ownership units and 1</w:t>
      </w:r>
      <w:r w:rsidR="003A3149">
        <w:t>,</w:t>
      </w:r>
      <w:r w:rsidR="002815DD">
        <w:t>082 general needs rented units.</w:t>
      </w:r>
    </w:p>
    <w:p w14:paraId="13E690B1" w14:textId="520F6486" w:rsidR="00B4248A" w:rsidRPr="00EF1CD6" w:rsidRDefault="009C60F1" w:rsidP="009C60F1">
      <w:pPr>
        <w:ind w:left="720" w:hanging="720"/>
        <w:rPr>
          <w:rFonts w:cstheme="minorHAnsi"/>
          <w:highlight w:val="yellow"/>
        </w:rPr>
      </w:pPr>
      <w:r>
        <w:rPr>
          <w:rFonts w:cstheme="minorHAnsi"/>
        </w:rPr>
        <w:t>3.</w:t>
      </w:r>
      <w:r w:rsidR="000F71CC">
        <w:rPr>
          <w:rFonts w:cstheme="minorHAnsi"/>
        </w:rPr>
        <w:t>21</w:t>
      </w:r>
      <w:r>
        <w:rPr>
          <w:rFonts w:cstheme="minorHAnsi"/>
        </w:rPr>
        <w:tab/>
      </w:r>
      <w:r w:rsidR="002815DD">
        <w:t xml:space="preserve">One Housing Group have also completed several landmark awarding winning schemes in Highgate, Hackney and Ealing. OHG are also involved in a number of upcoming flagship schemes such as King’s Cross Central and the </w:t>
      </w:r>
      <w:r w:rsidR="002815DD">
        <w:rPr>
          <w:color w:val="000000"/>
        </w:rPr>
        <w:t xml:space="preserve">regeneration of </w:t>
      </w:r>
      <w:r w:rsidR="003A3149">
        <w:rPr>
          <w:color w:val="000000"/>
        </w:rPr>
        <w:t xml:space="preserve">the </w:t>
      </w:r>
      <w:r w:rsidR="002815DD">
        <w:rPr>
          <w:color w:val="000000"/>
        </w:rPr>
        <w:t xml:space="preserve">Ladderswood </w:t>
      </w:r>
      <w:r w:rsidR="003A3149">
        <w:rPr>
          <w:color w:val="000000"/>
        </w:rPr>
        <w:t xml:space="preserve">estate </w:t>
      </w:r>
      <w:r w:rsidR="002815DD">
        <w:rPr>
          <w:color w:val="000000"/>
        </w:rPr>
        <w:t xml:space="preserve">- two </w:t>
      </w:r>
      <w:r w:rsidR="002815DD">
        <w:t>significant regeneration projects.</w:t>
      </w:r>
    </w:p>
    <w:p w14:paraId="0F498B34" w14:textId="3E7ABB5D" w:rsidR="00B4248A" w:rsidRPr="00EF1CD6" w:rsidRDefault="009C60F1" w:rsidP="009C60F1">
      <w:pPr>
        <w:ind w:left="720" w:hanging="720"/>
        <w:rPr>
          <w:rFonts w:cstheme="minorHAnsi"/>
          <w:highlight w:val="yellow"/>
        </w:rPr>
      </w:pPr>
      <w:r w:rsidRPr="005049F1">
        <w:rPr>
          <w:rFonts w:cstheme="minorHAnsi"/>
        </w:rPr>
        <w:t>3.</w:t>
      </w:r>
      <w:r w:rsidR="000F71CC">
        <w:rPr>
          <w:rFonts w:cstheme="minorHAnsi"/>
        </w:rPr>
        <w:t>22</w:t>
      </w:r>
      <w:r w:rsidRPr="00CE0F79">
        <w:rPr>
          <w:rFonts w:cstheme="minorHAnsi"/>
        </w:rPr>
        <w:tab/>
      </w:r>
      <w:r w:rsidR="002815DD" w:rsidRPr="00B1659A">
        <w:t>Currently</w:t>
      </w:r>
      <w:r w:rsidR="002815DD">
        <w:t xml:space="preserve"> there are 1,931 units under development including 1,013 affordable units. </w:t>
      </w:r>
      <w:r w:rsidR="003A3149">
        <w:rPr>
          <w:color w:val="000000"/>
        </w:rPr>
        <w:t>Examples of these are:</w:t>
      </w:r>
    </w:p>
    <w:p w14:paraId="1CDB0F38" w14:textId="77777777" w:rsidR="008F71AF" w:rsidRDefault="002815DD" w:rsidP="008F71AF">
      <w:pPr>
        <w:pStyle w:val="ListParagraph"/>
        <w:numPr>
          <w:ilvl w:val="0"/>
          <w:numId w:val="4"/>
        </w:numPr>
        <w:rPr>
          <w:b/>
          <w:bCs/>
          <w:color w:val="000000"/>
        </w:rPr>
      </w:pPr>
      <w:r w:rsidRPr="002815DD">
        <w:rPr>
          <w:b/>
          <w:bCs/>
          <w:color w:val="000000"/>
        </w:rPr>
        <w:t>Acton Town Hall - £29m</w:t>
      </w:r>
    </w:p>
    <w:p w14:paraId="36D85258" w14:textId="77777777" w:rsidR="008F71AF" w:rsidRDefault="008F71AF" w:rsidP="008F71AF">
      <w:pPr>
        <w:pStyle w:val="ListParagraph"/>
        <w:ind w:left="1080"/>
        <w:rPr>
          <w:b/>
          <w:bCs/>
          <w:color w:val="000000"/>
        </w:rPr>
      </w:pPr>
    </w:p>
    <w:p w14:paraId="323255CF" w14:textId="55CD9991" w:rsidR="002815DD" w:rsidRDefault="003A3149" w:rsidP="005049F1">
      <w:pPr>
        <w:pStyle w:val="ListParagraph"/>
        <w:ind w:left="1080"/>
        <w:rPr>
          <w:color w:val="000000"/>
        </w:rPr>
      </w:pPr>
      <w:r>
        <w:rPr>
          <w:color w:val="000000"/>
        </w:rPr>
        <w:t>This project involves the</w:t>
      </w:r>
      <w:r w:rsidR="002815DD" w:rsidRPr="008F71AF">
        <w:rPr>
          <w:color w:val="000000"/>
        </w:rPr>
        <w:t xml:space="preserve"> restoration of the Grade 2 Listed Town Hall building that had been used in recent years by Ealing Council as offices. One Housing</w:t>
      </w:r>
      <w:r>
        <w:rPr>
          <w:color w:val="000000"/>
        </w:rPr>
        <w:t xml:space="preserve"> Group</w:t>
      </w:r>
      <w:r w:rsidR="002815DD" w:rsidRPr="008F71AF">
        <w:rPr>
          <w:color w:val="000000"/>
        </w:rPr>
        <w:t xml:space="preserve"> are converting the </w:t>
      </w:r>
      <w:r>
        <w:rPr>
          <w:color w:val="000000"/>
        </w:rPr>
        <w:t>building</w:t>
      </w:r>
      <w:r w:rsidR="002815DD" w:rsidRPr="008F71AF">
        <w:rPr>
          <w:color w:val="000000"/>
        </w:rPr>
        <w:t xml:space="preserve"> into 71 new homes including 57 Private sale and 14 shared ownership units. The scheme has a range of units from studios to 3</w:t>
      </w:r>
      <w:r>
        <w:rPr>
          <w:color w:val="000000"/>
        </w:rPr>
        <w:t xml:space="preserve"> </w:t>
      </w:r>
      <w:r w:rsidR="002815DD" w:rsidRPr="008F71AF">
        <w:rPr>
          <w:color w:val="000000"/>
        </w:rPr>
        <w:t xml:space="preserve">bed duplex apartments and can offer a mix of new build homes as well as historic units with a contemporary fit out. The project will provide much needed homes at an affordable level with 85% of units being marketed as Help to Buy properties. </w:t>
      </w:r>
    </w:p>
    <w:p w14:paraId="78BC674C" w14:textId="78F1498F" w:rsidR="008F71AF" w:rsidRDefault="008F71AF" w:rsidP="008F71AF">
      <w:pPr>
        <w:pStyle w:val="ListParagraph"/>
        <w:ind w:left="1080"/>
        <w:rPr>
          <w:color w:val="000000"/>
        </w:rPr>
      </w:pPr>
    </w:p>
    <w:p w14:paraId="5B9FDF12" w14:textId="7D1C146C" w:rsidR="008F71AF" w:rsidRDefault="008F71AF" w:rsidP="008F71AF">
      <w:pPr>
        <w:pStyle w:val="ListParagraph"/>
        <w:ind w:left="1080"/>
        <w:rPr>
          <w:b/>
          <w:bCs/>
          <w:color w:val="000000"/>
        </w:rPr>
      </w:pPr>
    </w:p>
    <w:p w14:paraId="39485DEF" w14:textId="26EDC290" w:rsidR="005A261C" w:rsidRDefault="005A261C" w:rsidP="008F71AF">
      <w:pPr>
        <w:pStyle w:val="ListParagraph"/>
        <w:ind w:left="1080"/>
        <w:rPr>
          <w:b/>
          <w:bCs/>
          <w:color w:val="000000"/>
        </w:rPr>
      </w:pPr>
    </w:p>
    <w:p w14:paraId="0A4DD220" w14:textId="77777777" w:rsidR="005A261C" w:rsidRPr="008F71AF" w:rsidRDefault="005A261C" w:rsidP="008F71AF">
      <w:pPr>
        <w:pStyle w:val="ListParagraph"/>
        <w:ind w:left="1080"/>
        <w:rPr>
          <w:b/>
          <w:bCs/>
          <w:color w:val="000000"/>
        </w:rPr>
      </w:pPr>
    </w:p>
    <w:p w14:paraId="799B0387" w14:textId="77777777" w:rsidR="008F71AF" w:rsidRPr="008F71AF" w:rsidRDefault="002815DD" w:rsidP="008F71AF">
      <w:pPr>
        <w:pStyle w:val="ListParagraph"/>
        <w:numPr>
          <w:ilvl w:val="0"/>
          <w:numId w:val="4"/>
        </w:numPr>
        <w:rPr>
          <w:rFonts w:ascii="Arial" w:hAnsi="Arial" w:cs="Arial"/>
          <w:color w:val="1F497D"/>
          <w:sz w:val="20"/>
          <w:szCs w:val="20"/>
        </w:rPr>
      </w:pPr>
      <w:r w:rsidRPr="008F71AF">
        <w:rPr>
          <w:rFonts w:ascii="Arial" w:hAnsi="Arial" w:cs="Arial"/>
          <w:b/>
          <w:bCs/>
          <w:color w:val="000000"/>
          <w:sz w:val="20"/>
          <w:szCs w:val="20"/>
        </w:rPr>
        <w:lastRenderedPageBreak/>
        <w:t xml:space="preserve">St </w:t>
      </w:r>
      <w:proofErr w:type="spellStart"/>
      <w:r w:rsidRPr="008F71AF">
        <w:rPr>
          <w:rFonts w:ascii="Arial" w:hAnsi="Arial" w:cs="Arial"/>
          <w:b/>
          <w:bCs/>
          <w:color w:val="000000"/>
          <w:sz w:val="20"/>
          <w:szCs w:val="20"/>
        </w:rPr>
        <w:t>Anns</w:t>
      </w:r>
      <w:proofErr w:type="spellEnd"/>
      <w:r w:rsidRPr="008F71AF">
        <w:rPr>
          <w:rFonts w:ascii="Arial" w:hAnsi="Arial" w:cs="Arial"/>
          <w:b/>
          <w:bCs/>
          <w:color w:val="000000"/>
          <w:sz w:val="20"/>
          <w:szCs w:val="20"/>
        </w:rPr>
        <w:t xml:space="preserve"> Police station</w:t>
      </w:r>
      <w:r w:rsidRPr="008F71AF">
        <w:rPr>
          <w:rFonts w:ascii="Arial" w:hAnsi="Arial" w:cs="Arial"/>
          <w:color w:val="000000"/>
          <w:sz w:val="20"/>
          <w:szCs w:val="20"/>
        </w:rPr>
        <w:t xml:space="preserve"> – </w:t>
      </w:r>
      <w:r w:rsidRPr="008F71AF">
        <w:rPr>
          <w:rFonts w:ascii="Arial" w:hAnsi="Arial" w:cs="Arial"/>
          <w:b/>
          <w:bCs/>
          <w:color w:val="000000"/>
          <w:sz w:val="20"/>
          <w:szCs w:val="20"/>
        </w:rPr>
        <w:t>£10m</w:t>
      </w:r>
    </w:p>
    <w:p w14:paraId="17ECA0D6" w14:textId="77777777" w:rsidR="008F71AF" w:rsidRDefault="008F71AF" w:rsidP="008F71AF">
      <w:pPr>
        <w:pStyle w:val="ListParagraph"/>
        <w:ind w:left="1080"/>
        <w:rPr>
          <w:rFonts w:ascii="Arial" w:hAnsi="Arial" w:cs="Arial"/>
          <w:b/>
          <w:bCs/>
          <w:color w:val="000000"/>
          <w:sz w:val="20"/>
          <w:szCs w:val="20"/>
        </w:rPr>
      </w:pPr>
    </w:p>
    <w:p w14:paraId="35459B35" w14:textId="376AD14F" w:rsidR="002815DD" w:rsidRPr="003A3149" w:rsidRDefault="002815DD" w:rsidP="008F71AF">
      <w:pPr>
        <w:pStyle w:val="ListParagraph"/>
        <w:ind w:left="1080"/>
        <w:rPr>
          <w:color w:val="000000"/>
        </w:rPr>
      </w:pPr>
      <w:r w:rsidRPr="003A3149">
        <w:rPr>
          <w:color w:val="000000"/>
        </w:rPr>
        <w:t>The project is in Haringey and includes the refurbishment of the old Police Station building to provide Private sale &amp; shared ownership apartments along with the addition of new build town houses. There are 28 units in total including 6 Shared Ownership properties and Help to Buy is available.</w:t>
      </w:r>
    </w:p>
    <w:p w14:paraId="2EDD06B3" w14:textId="77777777" w:rsidR="008F71AF" w:rsidRPr="008F71AF" w:rsidRDefault="008F71AF" w:rsidP="008F71AF">
      <w:pPr>
        <w:pStyle w:val="ListParagraph"/>
        <w:ind w:left="1080"/>
        <w:rPr>
          <w:rFonts w:ascii="Arial" w:hAnsi="Arial" w:cs="Arial"/>
          <w:color w:val="1F497D"/>
          <w:sz w:val="20"/>
          <w:szCs w:val="20"/>
        </w:rPr>
      </w:pPr>
    </w:p>
    <w:p w14:paraId="34B1C009" w14:textId="77777777" w:rsidR="008F71AF" w:rsidRPr="008F71AF" w:rsidRDefault="002815DD" w:rsidP="008F71AF">
      <w:pPr>
        <w:pStyle w:val="ListParagraph"/>
        <w:numPr>
          <w:ilvl w:val="0"/>
          <w:numId w:val="4"/>
        </w:numPr>
        <w:rPr>
          <w:color w:val="000000"/>
        </w:rPr>
      </w:pPr>
      <w:r w:rsidRPr="002815DD">
        <w:rPr>
          <w:b/>
          <w:bCs/>
          <w:color w:val="000000"/>
        </w:rPr>
        <w:t>London Road – Isleworth - £9.5 million</w:t>
      </w:r>
    </w:p>
    <w:p w14:paraId="6962E363" w14:textId="77777777" w:rsidR="008F71AF" w:rsidRDefault="008F71AF" w:rsidP="008F71AF">
      <w:pPr>
        <w:pStyle w:val="ListParagraph"/>
        <w:ind w:left="1080"/>
        <w:rPr>
          <w:b/>
          <w:bCs/>
          <w:color w:val="000000"/>
        </w:rPr>
      </w:pPr>
    </w:p>
    <w:p w14:paraId="16BA145C" w14:textId="57E438C6" w:rsidR="002815DD" w:rsidRPr="008F71AF" w:rsidRDefault="002815DD" w:rsidP="008F71AF">
      <w:pPr>
        <w:pStyle w:val="ListParagraph"/>
        <w:ind w:left="1080"/>
        <w:rPr>
          <w:color w:val="000000"/>
        </w:rPr>
      </w:pPr>
      <w:r w:rsidRPr="008F71AF">
        <w:rPr>
          <w:color w:val="000000"/>
        </w:rPr>
        <w:t>This scheme provided 41 affordable units as part of a S106 with London Square. The units are a mixture of 9 Shared Ownership units and 32 General Needs units. The project redeveloped a former industrial site into 8 blocks of low-rise flats.</w:t>
      </w:r>
    </w:p>
    <w:p w14:paraId="598BB36C" w14:textId="77777777" w:rsidR="008F71AF" w:rsidRPr="008F71AF" w:rsidRDefault="008F71AF" w:rsidP="008F71AF">
      <w:pPr>
        <w:pStyle w:val="ListParagraph"/>
        <w:ind w:left="1080"/>
        <w:rPr>
          <w:color w:val="000000"/>
        </w:rPr>
      </w:pPr>
    </w:p>
    <w:p w14:paraId="4BEB52E6" w14:textId="77777777" w:rsidR="008F71AF" w:rsidRDefault="002815DD" w:rsidP="008F71AF">
      <w:pPr>
        <w:pStyle w:val="ListParagraph"/>
        <w:numPr>
          <w:ilvl w:val="0"/>
          <w:numId w:val="4"/>
        </w:numPr>
        <w:rPr>
          <w:b/>
          <w:bCs/>
          <w:color w:val="000000"/>
        </w:rPr>
      </w:pPr>
      <w:r w:rsidRPr="002815DD">
        <w:rPr>
          <w:b/>
          <w:bCs/>
          <w:color w:val="000000"/>
        </w:rPr>
        <w:t>Phoenix Place - £26m</w:t>
      </w:r>
    </w:p>
    <w:p w14:paraId="172F32B3" w14:textId="77777777" w:rsidR="008F71AF" w:rsidRDefault="008F71AF" w:rsidP="008F71AF">
      <w:pPr>
        <w:pStyle w:val="ListParagraph"/>
        <w:ind w:left="1080"/>
        <w:rPr>
          <w:b/>
          <w:bCs/>
          <w:color w:val="000000"/>
        </w:rPr>
      </w:pPr>
    </w:p>
    <w:p w14:paraId="06A6CE25" w14:textId="12927214" w:rsidR="002815DD" w:rsidRPr="008F71AF" w:rsidRDefault="002815DD" w:rsidP="008F71AF">
      <w:pPr>
        <w:pStyle w:val="ListParagraph"/>
        <w:ind w:left="1080"/>
        <w:rPr>
          <w:b/>
          <w:bCs/>
          <w:color w:val="000000"/>
        </w:rPr>
      </w:pPr>
      <w:r w:rsidRPr="008F71AF">
        <w:rPr>
          <w:color w:val="000000"/>
        </w:rPr>
        <w:t>Due to complete in 2022 this is a S106 scheme with Taylor Wimpey and provides 85 affordable units with a mix of tenures: Affordable, Intermediate and Shared Ownership.</w:t>
      </w:r>
    </w:p>
    <w:bookmarkEnd w:id="4"/>
    <w:p w14:paraId="68650DE0" w14:textId="77777777" w:rsidR="00B4248A" w:rsidRDefault="00B4248A" w:rsidP="00B4248A">
      <w:pPr>
        <w:spacing w:before="0" w:after="0" w:line="276" w:lineRule="auto"/>
        <w:ind w:left="720" w:hanging="720"/>
      </w:pPr>
    </w:p>
    <w:p w14:paraId="2481A9A1" w14:textId="77777777" w:rsidR="0067506A" w:rsidRDefault="0067506A">
      <w:pPr>
        <w:spacing w:before="0" w:after="160"/>
        <w:rPr>
          <w:highlight w:val="yellow"/>
        </w:rPr>
      </w:pPr>
      <w:r>
        <w:rPr>
          <w:highlight w:val="yellow"/>
        </w:rPr>
        <w:br w:type="page"/>
      </w:r>
    </w:p>
    <w:p w14:paraId="1D55506B" w14:textId="77777777" w:rsidR="00291A54" w:rsidRDefault="00B52962" w:rsidP="00B52962">
      <w:pPr>
        <w:pStyle w:val="Heading1"/>
      </w:pPr>
      <w:bookmarkStart w:id="5" w:name="_Toc516156322"/>
      <w:r>
        <w:lastRenderedPageBreak/>
        <w:t>4. Arrangements between the Developer and the Council</w:t>
      </w:r>
      <w:bookmarkEnd w:id="5"/>
    </w:p>
    <w:p w14:paraId="6CFAE4EC" w14:textId="237C0CD6" w:rsidR="00291A54" w:rsidRDefault="005E18C5" w:rsidP="005E18C5">
      <w:pPr>
        <w:ind w:left="720" w:hanging="720"/>
      </w:pPr>
      <w:r>
        <w:t xml:space="preserve">4.1 </w:t>
      </w:r>
      <w:r>
        <w:tab/>
      </w:r>
      <w:r w:rsidR="001C09E3" w:rsidRPr="001C09E3">
        <w:t>In 20</w:t>
      </w:r>
      <w:r>
        <w:t>12</w:t>
      </w:r>
      <w:r w:rsidR="001C09E3" w:rsidRPr="001C09E3">
        <w:t xml:space="preserve">, following a competitive tendering exercise advertised in the Official Journal </w:t>
      </w:r>
      <w:r w:rsidRPr="001C09E3">
        <w:t xml:space="preserve">of </w:t>
      </w:r>
      <w:r w:rsidR="00391545" w:rsidRPr="001C09E3">
        <w:t xml:space="preserve">the </w:t>
      </w:r>
      <w:r w:rsidR="00EF1CD6" w:rsidRPr="001C09E3">
        <w:t xml:space="preserve">European </w:t>
      </w:r>
      <w:r w:rsidR="00656D6C" w:rsidRPr="001C09E3">
        <w:t>Union</w:t>
      </w:r>
      <w:r w:rsidR="00656D6C">
        <w:t>, the</w:t>
      </w:r>
      <w:r>
        <w:t xml:space="preserve"> </w:t>
      </w:r>
      <w:r w:rsidR="00656D6C">
        <w:t>Council selected</w:t>
      </w:r>
      <w:r>
        <w:t xml:space="preserve"> </w:t>
      </w:r>
      <w:proofErr w:type="spellStart"/>
      <w:r>
        <w:t>Mulalley</w:t>
      </w:r>
      <w:proofErr w:type="spellEnd"/>
      <w:r>
        <w:t xml:space="preserve"> and One Housing Group </w:t>
      </w:r>
      <w:r w:rsidR="001C09E3" w:rsidRPr="001C09E3">
        <w:t xml:space="preserve">as its development partner to undertake regeneration proposals for </w:t>
      </w:r>
      <w:r>
        <w:t>Granville Road to form New Granville LLP</w:t>
      </w:r>
      <w:r w:rsidR="001C09E3" w:rsidRPr="001C09E3">
        <w:t>.</w:t>
      </w:r>
    </w:p>
    <w:p w14:paraId="702D1995" w14:textId="79FB8B45" w:rsidR="005E18C5" w:rsidRDefault="005E18C5" w:rsidP="005E18C5">
      <w:pPr>
        <w:ind w:left="720" w:hanging="720"/>
      </w:pPr>
      <w:r>
        <w:t>4.2</w:t>
      </w:r>
      <w:r>
        <w:tab/>
        <w:t xml:space="preserve">On 19 December 2013 the Council and Developer entered into a Development Agreement (“the DA”) which sets out arrangements between the Council and Developer in relation to the </w:t>
      </w:r>
      <w:r w:rsidR="00C14AC4">
        <w:t>Phase 2 Scheme</w:t>
      </w:r>
      <w:r>
        <w:t xml:space="preserve">, including respective responsibilities, notifications and approvals, land transfers and financial arrangements. </w:t>
      </w:r>
      <w:r w:rsidR="001405ED">
        <w:t xml:space="preserve"> The DA is a commercially confident document</w:t>
      </w:r>
      <w:r w:rsidR="00A777CE">
        <w:t xml:space="preserve">. I will however refer to the conditions precedent in the DA in order to explain why I consider that the Phase 2 Scheme is likely to be delivered if the order is </w:t>
      </w:r>
      <w:r w:rsidR="00DB0B6C">
        <w:t>confirmed.</w:t>
      </w:r>
    </w:p>
    <w:p w14:paraId="0D3B600B" w14:textId="72661FE4" w:rsidR="0024623E" w:rsidRDefault="0024623E" w:rsidP="005E18C5">
      <w:pPr>
        <w:ind w:left="720" w:hanging="720"/>
      </w:pPr>
      <w:r>
        <w:t>4.3</w:t>
      </w:r>
      <w:r>
        <w:tab/>
        <w:t xml:space="preserve">A supplemental agreement to the DA was entered into between the Council and Developer 30 June 2015 to reflect the </w:t>
      </w:r>
      <w:r w:rsidR="001405ED">
        <w:t xml:space="preserve">consequences of the </w:t>
      </w:r>
      <w:r>
        <w:t xml:space="preserve">planning appeal, </w:t>
      </w:r>
      <w:r w:rsidR="001405ED">
        <w:t xml:space="preserve">to </w:t>
      </w:r>
      <w:r>
        <w:t xml:space="preserve">redefine delay events and extend the long stop dates to the original agreement. </w:t>
      </w:r>
      <w:r w:rsidR="00BF1598">
        <w:t>These have since been further extended.</w:t>
      </w:r>
    </w:p>
    <w:p w14:paraId="39E043AA" w14:textId="512A14AC" w:rsidR="005C6599" w:rsidRDefault="005E18C5" w:rsidP="005E18C5">
      <w:pPr>
        <w:ind w:left="720" w:hanging="720"/>
      </w:pPr>
      <w:r>
        <w:t>4.</w:t>
      </w:r>
      <w:r w:rsidR="0024623E">
        <w:t>4</w:t>
      </w:r>
      <w:r>
        <w:t xml:space="preserve"> </w:t>
      </w:r>
      <w:r>
        <w:tab/>
      </w:r>
      <w:r w:rsidR="005C6599">
        <w:t>On 18 July 2016, the Council and Developer entered into an agreement pursuant to section 106 of the Town and Country Planning Act 1990 (the ‘S106 agreement’) in respect of the scheme</w:t>
      </w:r>
      <w:r w:rsidR="002D2DC8">
        <w:t xml:space="preserve"> </w:t>
      </w:r>
      <w:r w:rsidR="002D2DC8" w:rsidRPr="00CE0F79">
        <w:t>(CD21)</w:t>
      </w:r>
      <w:r w:rsidR="005C6599" w:rsidRPr="00CE0F79">
        <w:t>.</w:t>
      </w:r>
    </w:p>
    <w:p w14:paraId="6B90970A" w14:textId="1AE421B4" w:rsidR="005C6599" w:rsidRDefault="005C6599" w:rsidP="005E18C5">
      <w:pPr>
        <w:ind w:left="720" w:hanging="720"/>
      </w:pPr>
      <w:r>
        <w:t>4.</w:t>
      </w:r>
      <w:r w:rsidR="0024623E">
        <w:t>5</w:t>
      </w:r>
      <w:r>
        <w:tab/>
      </w:r>
      <w:r w:rsidR="00291A54">
        <w:t xml:space="preserve">Planning permission (the Planning Permission) </w:t>
      </w:r>
      <w:r w:rsidR="001405ED" w:rsidRPr="00CE0F79">
        <w:t>(CD20)</w:t>
      </w:r>
      <w:r w:rsidR="001405ED">
        <w:t xml:space="preserve"> </w:t>
      </w:r>
      <w:r w:rsidR="00291A54">
        <w:t xml:space="preserve">was granted for the Phase 2 Scheme on appeal (the Appeal) on 8 August 2016 by Richard Schofield BA(Hons) MA MRTPI, a Planning Inspector appointed by the Secretary of State for Communities and Local Government following a </w:t>
      </w:r>
      <w:r w:rsidR="00656D6C">
        <w:t>six-day</w:t>
      </w:r>
      <w:r w:rsidR="00291A54">
        <w:t xml:space="preserve"> public inquiry.  </w:t>
      </w:r>
    </w:p>
    <w:p w14:paraId="24FF4303" w14:textId="2E76EECD" w:rsidR="005C6599" w:rsidRDefault="005E18C5" w:rsidP="005C6599">
      <w:pPr>
        <w:ind w:left="720" w:hanging="720"/>
      </w:pPr>
      <w:r>
        <w:t>4.</w:t>
      </w:r>
      <w:r w:rsidR="0024623E">
        <w:t>6</w:t>
      </w:r>
      <w:r>
        <w:tab/>
      </w:r>
      <w:r w:rsidR="005C6599">
        <w:t xml:space="preserve">The Council and Developer entered into a CPO Indemnity Agreement (CPOIA) on 5 July 2017, </w:t>
      </w:r>
      <w:r w:rsidR="005C6599" w:rsidRPr="005C6599">
        <w:t>under which the Developer undertook to indemnify the Council in respect of costs incurred in promoting, making and securing the compulsory acquisition of the Order Land and the compensation payments arising from those acquisitions.</w:t>
      </w:r>
      <w:r w:rsidR="001405ED">
        <w:t xml:space="preserve">  </w:t>
      </w:r>
    </w:p>
    <w:p w14:paraId="6FBA7E9D" w14:textId="77777777" w:rsidR="005C6599" w:rsidRDefault="005C6599" w:rsidP="005C6599">
      <w:pPr>
        <w:ind w:left="720" w:hanging="720"/>
      </w:pPr>
      <w:r>
        <w:t>4.</w:t>
      </w:r>
      <w:r w:rsidR="0024623E">
        <w:t>7</w:t>
      </w:r>
      <w:r>
        <w:tab/>
      </w:r>
      <w:r w:rsidRPr="005C6599">
        <w:t>The CPOIA also requires the Developer to indemnify the Council in respect of costs related to the making and promotion of additional Orders, again including land acquisition costs, required to deliver the Scheme.</w:t>
      </w:r>
    </w:p>
    <w:p w14:paraId="4615D67A" w14:textId="34E55529" w:rsidR="001B79F6" w:rsidRDefault="005C6599" w:rsidP="005C6599">
      <w:pPr>
        <w:ind w:left="720" w:hanging="720"/>
      </w:pPr>
      <w:r>
        <w:t>4.</w:t>
      </w:r>
      <w:r w:rsidR="0024623E">
        <w:t>8</w:t>
      </w:r>
      <w:r>
        <w:tab/>
      </w:r>
      <w:r w:rsidRPr="005C6599">
        <w:t xml:space="preserve">The </w:t>
      </w:r>
      <w:r>
        <w:t>DA</w:t>
      </w:r>
      <w:r w:rsidRPr="005C6599">
        <w:t xml:space="preserve"> contains a number of overarching pre-conditions relating to the Scheme overall, such as the receipt of planning permission. Following satisfaction of these pre-conditions, the </w:t>
      </w:r>
      <w:r>
        <w:t>DA</w:t>
      </w:r>
      <w:r w:rsidRPr="005C6599">
        <w:t xml:space="preserve"> </w:t>
      </w:r>
      <w:r>
        <w:t>will be</w:t>
      </w:r>
      <w:r w:rsidRPr="005C6599">
        <w:t xml:space="preserve"> deemed unconditional. </w:t>
      </w:r>
      <w:r w:rsidR="001B79F6">
        <w:t>These conditions are:</w:t>
      </w:r>
    </w:p>
    <w:p w14:paraId="6E3C1612" w14:textId="3439FFB3" w:rsidR="001B79F6" w:rsidRDefault="001B79F6" w:rsidP="00A777CE">
      <w:pPr>
        <w:pStyle w:val="ListParagraph"/>
        <w:numPr>
          <w:ilvl w:val="0"/>
          <w:numId w:val="20"/>
        </w:numPr>
        <w:ind w:left="1434" w:hanging="357"/>
        <w:contextualSpacing w:val="0"/>
      </w:pPr>
      <w:r>
        <w:t xml:space="preserve">The granting of planning permission and completion of a S106 agreement – This </w:t>
      </w:r>
      <w:r w:rsidR="00A777CE">
        <w:t>condition has been met</w:t>
      </w:r>
    </w:p>
    <w:p w14:paraId="02627768" w14:textId="656772DA" w:rsidR="001B79F6" w:rsidRDefault="001B79F6" w:rsidP="00A777CE">
      <w:pPr>
        <w:pStyle w:val="ListParagraph"/>
        <w:numPr>
          <w:ilvl w:val="0"/>
          <w:numId w:val="20"/>
        </w:numPr>
        <w:ind w:left="1434" w:hanging="357"/>
        <w:contextualSpacing w:val="0"/>
      </w:pPr>
      <w:r>
        <w:t>Achieving of 3</w:t>
      </w:r>
      <w:r w:rsidRPr="005049F1">
        <w:rPr>
          <w:vertAlign w:val="superscript"/>
        </w:rPr>
        <w:t>rd</w:t>
      </w:r>
      <w:r>
        <w:t xml:space="preserve"> party acquisitions </w:t>
      </w:r>
      <w:r w:rsidR="00DB3A82">
        <w:t>– This Order will facilitate this</w:t>
      </w:r>
    </w:p>
    <w:p w14:paraId="751C035C" w14:textId="4DD1AB12" w:rsidR="00DB3A82" w:rsidRDefault="00DB3A82" w:rsidP="00A777CE">
      <w:pPr>
        <w:pStyle w:val="ListParagraph"/>
        <w:numPr>
          <w:ilvl w:val="0"/>
          <w:numId w:val="20"/>
        </w:numPr>
        <w:ind w:left="1434" w:hanging="357"/>
        <w:contextualSpacing w:val="0"/>
      </w:pPr>
      <w:r>
        <w:t>Secretary of State’s consent to appropriation and disposal – Appropriation of the public open space has been completed, however the ‘Order Land’ cannot be dealt with until LBB has vacant possession of the site</w:t>
      </w:r>
    </w:p>
    <w:p w14:paraId="015B8651" w14:textId="69F5A485" w:rsidR="00DB3A82" w:rsidRDefault="00DB3A82" w:rsidP="00A777CE">
      <w:pPr>
        <w:pStyle w:val="ListParagraph"/>
        <w:numPr>
          <w:ilvl w:val="0"/>
          <w:numId w:val="20"/>
        </w:numPr>
        <w:ind w:left="1434" w:hanging="357"/>
        <w:contextualSpacing w:val="0"/>
      </w:pPr>
      <w:r>
        <w:lastRenderedPageBreak/>
        <w:t>The Stopping Up Order being granted – This is ongoing</w:t>
      </w:r>
      <w:r w:rsidR="00DB0B6C">
        <w:t xml:space="preserve"> and further detail is provided in paragraph 6.</w:t>
      </w:r>
      <w:r w:rsidR="00761B52">
        <w:t>11</w:t>
      </w:r>
      <w:r w:rsidR="00DB0B6C">
        <w:t>.</w:t>
      </w:r>
    </w:p>
    <w:p w14:paraId="64602818" w14:textId="3EA0A67C" w:rsidR="00DB3A82" w:rsidRDefault="00DB3A82" w:rsidP="00A777CE">
      <w:pPr>
        <w:pStyle w:val="ListParagraph"/>
        <w:numPr>
          <w:ilvl w:val="0"/>
          <w:numId w:val="20"/>
        </w:numPr>
        <w:ind w:left="1434" w:hanging="357"/>
        <w:contextualSpacing w:val="0"/>
      </w:pPr>
      <w:r>
        <w:t>A works notice being served – The Council and Developer are working together to achieve this</w:t>
      </w:r>
      <w:r w:rsidR="00DB0B6C">
        <w:t>.</w:t>
      </w:r>
    </w:p>
    <w:p w14:paraId="29257EF6" w14:textId="4591FCD2" w:rsidR="00DB3A82" w:rsidRDefault="00DB3A82" w:rsidP="00A777CE">
      <w:pPr>
        <w:pStyle w:val="ListParagraph"/>
        <w:numPr>
          <w:ilvl w:val="0"/>
          <w:numId w:val="20"/>
        </w:numPr>
        <w:ind w:left="1434" w:hanging="357"/>
        <w:contextualSpacing w:val="0"/>
      </w:pPr>
      <w:r>
        <w:t>The Master Plan and Master Programme being finalised – The Master Plan has been finalised and the Master Programme</w:t>
      </w:r>
      <w:r w:rsidR="00A777CE">
        <w:t xml:space="preserve"> will be finalised once vacant possession of the whole site is secured.</w:t>
      </w:r>
      <w:r w:rsidR="00DB0B6C">
        <w:t xml:space="preserve"> This will be submitted to the Council for approval and will be done at the appropriate time.</w:t>
      </w:r>
    </w:p>
    <w:p w14:paraId="6F7A8E33" w14:textId="155D318B" w:rsidR="00DB3A82" w:rsidRDefault="00DB3A82" w:rsidP="00A777CE">
      <w:pPr>
        <w:pStyle w:val="ListParagraph"/>
        <w:numPr>
          <w:ilvl w:val="0"/>
          <w:numId w:val="20"/>
        </w:numPr>
        <w:ind w:left="1434" w:hanging="357"/>
        <w:contextualSpacing w:val="0"/>
      </w:pPr>
      <w:r>
        <w:t xml:space="preserve">The Council providing the Partner with a certified copy of its resolution </w:t>
      </w:r>
      <w:r w:rsidR="00030697">
        <w:t xml:space="preserve">authorising the Council to enter into the DA – This has been provided and </w:t>
      </w:r>
      <w:r w:rsidR="00A777CE">
        <w:t>the</w:t>
      </w:r>
      <w:r w:rsidR="00030697">
        <w:t xml:space="preserve"> DA </w:t>
      </w:r>
      <w:r w:rsidR="00A777CE">
        <w:t>completed.</w:t>
      </w:r>
    </w:p>
    <w:p w14:paraId="6CAC6CEA" w14:textId="4ACE9212" w:rsidR="00030697" w:rsidRDefault="00030697" w:rsidP="00A777CE">
      <w:pPr>
        <w:pStyle w:val="ListParagraph"/>
        <w:numPr>
          <w:ilvl w:val="0"/>
          <w:numId w:val="20"/>
        </w:numPr>
        <w:ind w:left="1434" w:hanging="357"/>
        <w:contextualSpacing w:val="0"/>
      </w:pPr>
      <w:r>
        <w:t>Achieving vacant possession of Beech Court – The LLP has acquired all of the leasehold units in the block and the Council is in the process of securing vacant possession of the remaining units</w:t>
      </w:r>
    </w:p>
    <w:p w14:paraId="60983389" w14:textId="73B5AB05" w:rsidR="005C6599" w:rsidRDefault="00030697" w:rsidP="005C6599">
      <w:pPr>
        <w:ind w:left="720" w:hanging="720"/>
      </w:pPr>
      <w:r>
        <w:t>4.9</w:t>
      </w:r>
      <w:r>
        <w:tab/>
      </w:r>
      <w:r w:rsidR="00A777CE">
        <w:t>A number of pre-conditions have therefore already been met, and the</w:t>
      </w:r>
      <w:r w:rsidR="005C6599">
        <w:t xml:space="preserve"> Council and Developer are jointly working towards discharge </w:t>
      </w:r>
      <w:r w:rsidR="00A777CE">
        <w:t>of the remainder</w:t>
      </w:r>
      <w:r w:rsidR="00662C7D">
        <w:t>.</w:t>
      </w:r>
      <w:r w:rsidR="00A777CE">
        <w:t xml:space="preserve"> </w:t>
      </w:r>
      <w:r w:rsidR="00662C7D">
        <w:t>T</w:t>
      </w:r>
      <w:r w:rsidR="00656D6C">
        <w:t xml:space="preserve">he Developer </w:t>
      </w:r>
      <w:r w:rsidR="00A777CE">
        <w:t xml:space="preserve">is unaware of any </w:t>
      </w:r>
      <w:r w:rsidR="00656D6C">
        <w:t xml:space="preserve">reason as to why </w:t>
      </w:r>
      <w:r w:rsidR="00A777CE">
        <w:t>this should not be achieved.</w:t>
      </w:r>
      <w:r w:rsidR="00656D6C">
        <w:t xml:space="preserve"> </w:t>
      </w:r>
    </w:p>
    <w:p w14:paraId="49FDFB31" w14:textId="237D9B02" w:rsidR="00A777CE" w:rsidRDefault="00A76A68" w:rsidP="005C6599">
      <w:pPr>
        <w:ind w:left="720" w:hanging="720"/>
      </w:pPr>
      <w:r>
        <w:t>4.</w:t>
      </w:r>
      <w:r w:rsidR="00030697">
        <w:t>10</w:t>
      </w:r>
      <w:r>
        <w:tab/>
      </w:r>
      <w:r w:rsidRPr="00A76A68">
        <w:t xml:space="preserve">The conditions also require vacant possession of the land to be </w:t>
      </w:r>
      <w:r w:rsidR="00A777CE">
        <w:t>secured</w:t>
      </w:r>
      <w:r w:rsidRPr="00A76A68">
        <w:t xml:space="preserve">. Whilst the Council and Developer remain committed to assembling the site by </w:t>
      </w:r>
      <w:r w:rsidR="001405ED">
        <w:t xml:space="preserve">acquiring the necessary interests by </w:t>
      </w:r>
      <w:r w:rsidRPr="00A76A68">
        <w:t>agreement, the Order</w:t>
      </w:r>
      <w:r w:rsidR="006A136A">
        <w:t xml:space="preserve"> is</w:t>
      </w:r>
      <w:r w:rsidRPr="00A76A68">
        <w:t xml:space="preserve"> necessary to ensure this condition is met within a reasonable timescale</w:t>
      </w:r>
      <w:r w:rsidR="0024623E">
        <w:t>.</w:t>
      </w:r>
    </w:p>
    <w:p w14:paraId="24B06DB3" w14:textId="62A4C6F9" w:rsidR="005A261C" w:rsidRDefault="005A261C" w:rsidP="005C6599">
      <w:pPr>
        <w:ind w:left="720" w:hanging="720"/>
      </w:pPr>
      <w:r>
        <w:t>4.11</w:t>
      </w:r>
      <w:r>
        <w:tab/>
        <w:t xml:space="preserve">A S278 agreement will be entered into between the Developer and the Council, in order to deliver the required improvement works to areas of public highway. The Developer is unaware of any reason that the S278 agreement will not be completed and does not believe that it presents any impediment to the delivery of the Phase 2 Scheme. </w:t>
      </w:r>
    </w:p>
    <w:p w14:paraId="60B1957C" w14:textId="77777777" w:rsidR="00A777CE" w:rsidRDefault="00A777CE">
      <w:pPr>
        <w:spacing w:before="0" w:after="160"/>
      </w:pPr>
      <w:r>
        <w:br w:type="page"/>
      </w:r>
    </w:p>
    <w:p w14:paraId="605E58EE" w14:textId="77777777" w:rsidR="00137FE6" w:rsidRDefault="000516FF" w:rsidP="00A777CE">
      <w:pPr>
        <w:pStyle w:val="Heading1"/>
      </w:pPr>
      <w:bookmarkStart w:id="6" w:name="_Toc516156323"/>
      <w:r>
        <w:lastRenderedPageBreak/>
        <w:t>5. Scheme Description</w:t>
      </w:r>
      <w:bookmarkEnd w:id="6"/>
    </w:p>
    <w:p w14:paraId="1E869D92" w14:textId="56632DF3" w:rsidR="005E18C5" w:rsidRPr="008707F8" w:rsidRDefault="00137FE6" w:rsidP="008360F6">
      <w:pPr>
        <w:ind w:left="720" w:hanging="720"/>
        <w:rPr>
          <w:rFonts w:cstheme="minorHAnsi"/>
        </w:rPr>
      </w:pPr>
      <w:r w:rsidRPr="008707F8">
        <w:rPr>
          <w:rFonts w:cstheme="minorHAnsi"/>
        </w:rPr>
        <w:t>5.1</w:t>
      </w:r>
      <w:r w:rsidRPr="008707F8">
        <w:rPr>
          <w:rFonts w:cstheme="minorHAnsi"/>
        </w:rPr>
        <w:tab/>
      </w:r>
      <w:r w:rsidR="00122316">
        <w:rPr>
          <w:rFonts w:cstheme="minorHAnsi"/>
        </w:rPr>
        <w:t>As explai</w:t>
      </w:r>
      <w:r w:rsidR="00C931EF">
        <w:rPr>
          <w:rFonts w:cstheme="minorHAnsi"/>
        </w:rPr>
        <w:t xml:space="preserve">ned in the evidence of </w:t>
      </w:r>
      <w:r w:rsidR="00C50F6B">
        <w:rPr>
          <w:rFonts w:cstheme="minorHAnsi"/>
        </w:rPr>
        <w:t>J</w:t>
      </w:r>
      <w:r w:rsidR="00C50F6B" w:rsidRPr="004258E9">
        <w:rPr>
          <w:rFonts w:cstheme="minorHAnsi"/>
        </w:rPr>
        <w:t xml:space="preserve">o </w:t>
      </w:r>
      <w:proofErr w:type="spellStart"/>
      <w:r w:rsidR="00C50F6B">
        <w:rPr>
          <w:rFonts w:cstheme="minorHAnsi"/>
        </w:rPr>
        <w:t>M</w:t>
      </w:r>
      <w:r w:rsidR="00C50F6B" w:rsidRPr="004258E9">
        <w:rPr>
          <w:rFonts w:cstheme="minorHAnsi"/>
        </w:rPr>
        <w:t>c</w:t>
      </w:r>
      <w:r w:rsidR="00C50F6B">
        <w:rPr>
          <w:rFonts w:cstheme="minorHAnsi"/>
        </w:rPr>
        <w:t>C</w:t>
      </w:r>
      <w:r w:rsidR="00C50F6B" w:rsidRPr="004258E9">
        <w:rPr>
          <w:rFonts w:cstheme="minorHAnsi"/>
        </w:rPr>
        <w:t>afferty</w:t>
      </w:r>
      <w:proofErr w:type="spellEnd"/>
      <w:r w:rsidR="00C50F6B">
        <w:rPr>
          <w:rFonts w:cstheme="minorHAnsi"/>
        </w:rPr>
        <w:t xml:space="preserve"> </w:t>
      </w:r>
      <w:r w:rsidR="00122316">
        <w:rPr>
          <w:rFonts w:cstheme="minorHAnsi"/>
        </w:rPr>
        <w:t>(</w:t>
      </w:r>
      <w:r w:rsidR="00CE0F79">
        <w:rPr>
          <w:rFonts w:cstheme="minorHAnsi"/>
        </w:rPr>
        <w:t>AA/</w:t>
      </w:r>
      <w:r w:rsidR="003A3149">
        <w:rPr>
          <w:rFonts w:cstheme="minorHAnsi"/>
        </w:rPr>
        <w:t>JM1.1</w:t>
      </w:r>
      <w:r w:rsidR="00122316">
        <w:rPr>
          <w:rFonts w:cstheme="minorHAnsi"/>
        </w:rPr>
        <w:t>)</w:t>
      </w:r>
      <w:r w:rsidR="00CE0F79">
        <w:rPr>
          <w:rFonts w:cstheme="minorHAnsi"/>
        </w:rPr>
        <w:t xml:space="preserve"> section 4.1</w:t>
      </w:r>
      <w:r w:rsidR="00122316">
        <w:rPr>
          <w:rFonts w:cstheme="minorHAnsi"/>
        </w:rPr>
        <w:t>, t</w:t>
      </w:r>
      <w:r w:rsidRPr="008707F8">
        <w:rPr>
          <w:rFonts w:cstheme="minorHAnsi"/>
        </w:rPr>
        <w:t>he Order</w:t>
      </w:r>
      <w:r w:rsidR="00122316">
        <w:rPr>
          <w:rFonts w:cstheme="minorHAnsi"/>
        </w:rPr>
        <w:t xml:space="preserve"> Land </w:t>
      </w:r>
      <w:r w:rsidR="00065D69">
        <w:rPr>
          <w:rFonts w:cstheme="minorHAnsi"/>
        </w:rPr>
        <w:t xml:space="preserve">as </w:t>
      </w:r>
      <w:r w:rsidR="00122316">
        <w:rPr>
          <w:rFonts w:cstheme="minorHAnsi"/>
        </w:rPr>
        <w:t>shown on the Order Maps (</w:t>
      </w:r>
      <w:r w:rsidR="00122316" w:rsidRPr="00CE0F79">
        <w:rPr>
          <w:rFonts w:cstheme="minorHAnsi"/>
        </w:rPr>
        <w:t>CD5</w:t>
      </w:r>
      <w:r w:rsidR="008014ED" w:rsidRPr="00CE0F79">
        <w:rPr>
          <w:rFonts w:cstheme="minorHAnsi"/>
        </w:rPr>
        <w:t>)</w:t>
      </w:r>
      <w:r w:rsidR="008014ED">
        <w:rPr>
          <w:rFonts w:cstheme="minorHAnsi"/>
        </w:rPr>
        <w:t xml:space="preserve"> is</w:t>
      </w:r>
      <w:r w:rsidR="00122316">
        <w:rPr>
          <w:rFonts w:cstheme="minorHAnsi"/>
        </w:rPr>
        <w:t xml:space="preserve"> </w:t>
      </w:r>
      <w:r w:rsidR="00065D69">
        <w:rPr>
          <w:rFonts w:cstheme="minorHAnsi"/>
        </w:rPr>
        <w:t xml:space="preserve">required in order </w:t>
      </w:r>
      <w:r w:rsidR="00122316">
        <w:rPr>
          <w:rFonts w:cstheme="minorHAnsi"/>
        </w:rPr>
        <w:t xml:space="preserve">to allow the </w:t>
      </w:r>
      <w:r w:rsidRPr="008707F8">
        <w:rPr>
          <w:rFonts w:cstheme="minorHAnsi"/>
        </w:rPr>
        <w:t xml:space="preserve">completion </w:t>
      </w:r>
      <w:r w:rsidR="00C1493F">
        <w:rPr>
          <w:rFonts w:cstheme="minorHAnsi"/>
        </w:rPr>
        <w:t xml:space="preserve">of </w:t>
      </w:r>
      <w:r w:rsidRPr="008707F8">
        <w:rPr>
          <w:rFonts w:cstheme="minorHAnsi"/>
        </w:rPr>
        <w:t>the</w:t>
      </w:r>
      <w:r w:rsidR="00122316">
        <w:rPr>
          <w:rFonts w:cstheme="minorHAnsi"/>
        </w:rPr>
        <w:t xml:space="preserve"> Phase 2</w:t>
      </w:r>
      <w:r w:rsidRPr="008707F8">
        <w:rPr>
          <w:rFonts w:cstheme="minorHAnsi"/>
        </w:rPr>
        <w:t xml:space="preserve"> Scheme and the associated </w:t>
      </w:r>
      <w:r w:rsidR="00104586" w:rsidRPr="008707F8">
        <w:rPr>
          <w:rFonts w:cstheme="minorHAnsi"/>
        </w:rPr>
        <w:t>infrastructure</w:t>
      </w:r>
      <w:r w:rsidR="00872779">
        <w:rPr>
          <w:rFonts w:cstheme="minorHAnsi"/>
        </w:rPr>
        <w:t xml:space="preserve"> works </w:t>
      </w:r>
      <w:r w:rsidR="00122316">
        <w:rPr>
          <w:rFonts w:cstheme="minorHAnsi"/>
        </w:rPr>
        <w:t xml:space="preserve">in accordance with the </w:t>
      </w:r>
      <w:r w:rsidR="00174853">
        <w:rPr>
          <w:rFonts w:cstheme="minorHAnsi"/>
        </w:rPr>
        <w:t>P</w:t>
      </w:r>
      <w:r w:rsidR="00122316">
        <w:rPr>
          <w:rFonts w:cstheme="minorHAnsi"/>
        </w:rPr>
        <w:t xml:space="preserve">lanning </w:t>
      </w:r>
      <w:r w:rsidR="00174853">
        <w:rPr>
          <w:rFonts w:cstheme="minorHAnsi"/>
        </w:rPr>
        <w:t>P</w:t>
      </w:r>
      <w:r w:rsidR="00122316">
        <w:rPr>
          <w:rFonts w:cstheme="minorHAnsi"/>
        </w:rPr>
        <w:t>ermission.</w:t>
      </w:r>
      <w:r w:rsidRPr="008707F8">
        <w:rPr>
          <w:rFonts w:cstheme="minorHAnsi"/>
        </w:rPr>
        <w:t xml:space="preserve"> </w:t>
      </w:r>
    </w:p>
    <w:p w14:paraId="2D57AE3A" w14:textId="09D6234B" w:rsidR="00104586" w:rsidRPr="008707F8" w:rsidRDefault="00104586" w:rsidP="008707F8">
      <w:pPr>
        <w:ind w:left="720" w:hanging="720"/>
        <w:rPr>
          <w:rFonts w:cstheme="minorHAnsi"/>
        </w:rPr>
      </w:pPr>
      <w:r w:rsidRPr="008707F8">
        <w:rPr>
          <w:rFonts w:cstheme="minorHAnsi"/>
        </w:rPr>
        <w:t>5.2</w:t>
      </w:r>
      <w:r w:rsidRPr="008707F8">
        <w:rPr>
          <w:rFonts w:cstheme="minorHAnsi"/>
        </w:rPr>
        <w:tab/>
        <w:t xml:space="preserve">The extent of the land required for the completion of this scheme and within </w:t>
      </w:r>
      <w:r w:rsidR="00F76777">
        <w:rPr>
          <w:rFonts w:cstheme="minorHAnsi"/>
        </w:rPr>
        <w:t>T</w:t>
      </w:r>
      <w:r w:rsidRPr="008707F8">
        <w:rPr>
          <w:rFonts w:cstheme="minorHAnsi"/>
        </w:rPr>
        <w:t xml:space="preserve">he Order has been a product of careful consideration by the Council, the Developer and both parties’ professional teams. </w:t>
      </w:r>
    </w:p>
    <w:p w14:paraId="17C3A5CA" w14:textId="37467496" w:rsidR="00104586" w:rsidRPr="008707F8" w:rsidRDefault="000F2517" w:rsidP="008707F8">
      <w:pPr>
        <w:rPr>
          <w:rFonts w:cstheme="minorHAnsi"/>
        </w:rPr>
      </w:pPr>
      <w:r w:rsidRPr="008707F8">
        <w:rPr>
          <w:rFonts w:cstheme="minorHAnsi"/>
          <w:color w:val="000000"/>
        </w:rPr>
        <w:t>5.3</w:t>
      </w:r>
      <w:r w:rsidRPr="008707F8">
        <w:rPr>
          <w:rFonts w:cstheme="minorHAnsi"/>
          <w:color w:val="000000"/>
        </w:rPr>
        <w:tab/>
      </w:r>
      <w:r w:rsidR="00104586" w:rsidRPr="008707F8">
        <w:rPr>
          <w:rFonts w:cstheme="minorHAnsi"/>
          <w:color w:val="000000"/>
        </w:rPr>
        <w:t>The Planning Permission</w:t>
      </w:r>
      <w:r w:rsidR="00122316">
        <w:rPr>
          <w:rFonts w:cstheme="minorHAnsi"/>
          <w:color w:val="000000"/>
        </w:rPr>
        <w:t xml:space="preserve"> (</w:t>
      </w:r>
      <w:r w:rsidR="00122316" w:rsidRPr="00CE0F79">
        <w:rPr>
          <w:rFonts w:cstheme="minorHAnsi"/>
          <w:color w:val="000000"/>
        </w:rPr>
        <w:t>CD20</w:t>
      </w:r>
      <w:r w:rsidR="00122316">
        <w:rPr>
          <w:rFonts w:cstheme="minorHAnsi"/>
          <w:color w:val="000000"/>
        </w:rPr>
        <w:t>)</w:t>
      </w:r>
      <w:r w:rsidR="00104586" w:rsidRPr="008707F8">
        <w:rPr>
          <w:rFonts w:cstheme="minorHAnsi"/>
          <w:color w:val="000000"/>
        </w:rPr>
        <w:t xml:space="preserve"> for the </w:t>
      </w:r>
      <w:r w:rsidRPr="008707F8">
        <w:rPr>
          <w:rFonts w:cstheme="minorHAnsi"/>
          <w:color w:val="000000"/>
        </w:rPr>
        <w:t>s</w:t>
      </w:r>
      <w:r w:rsidR="00104586" w:rsidRPr="008707F8">
        <w:rPr>
          <w:rFonts w:cstheme="minorHAnsi"/>
          <w:color w:val="000000"/>
        </w:rPr>
        <w:t>cheme</w:t>
      </w:r>
      <w:r w:rsidRPr="008707F8">
        <w:rPr>
          <w:rFonts w:cstheme="minorHAnsi"/>
          <w:color w:val="000000"/>
        </w:rPr>
        <w:t xml:space="preserve"> </w:t>
      </w:r>
      <w:r w:rsidR="00104586" w:rsidRPr="008707F8">
        <w:rPr>
          <w:rFonts w:cstheme="minorHAnsi"/>
          <w:color w:val="000000"/>
        </w:rPr>
        <w:t xml:space="preserve">was granted for:  </w:t>
      </w:r>
    </w:p>
    <w:p w14:paraId="47BBEB22" w14:textId="77777777" w:rsidR="00FF7B1B" w:rsidRPr="008707F8" w:rsidRDefault="00104586" w:rsidP="008707F8">
      <w:pPr>
        <w:ind w:left="720"/>
        <w:rPr>
          <w:rFonts w:cstheme="minorHAnsi"/>
        </w:rPr>
      </w:pPr>
      <w:r w:rsidRPr="008707F8">
        <w:rPr>
          <w:rFonts w:cstheme="minorHAnsi"/>
          <w:i/>
          <w:iCs/>
          <w:color w:val="000000"/>
        </w:rPr>
        <w:t>“Demolition of Beech Court, garages and other ancillary buildings and the</w:t>
      </w:r>
      <w:r w:rsidR="00FF7B1B" w:rsidRPr="008707F8">
        <w:rPr>
          <w:rFonts w:cstheme="minorHAnsi"/>
          <w:i/>
          <w:iCs/>
          <w:color w:val="000000"/>
        </w:rPr>
        <w:t xml:space="preserve"> </w:t>
      </w:r>
      <w:r w:rsidRPr="008707F8">
        <w:rPr>
          <w:rFonts w:cstheme="minorHAnsi"/>
          <w:i/>
          <w:iCs/>
          <w:color w:val="000000"/>
        </w:rPr>
        <w:t>erection of new buildings (including an extension to Nant Court) between two</w:t>
      </w:r>
      <w:r w:rsidR="00FF7B1B" w:rsidRPr="008707F8">
        <w:rPr>
          <w:rFonts w:cstheme="minorHAnsi"/>
          <w:i/>
          <w:iCs/>
          <w:color w:val="000000"/>
        </w:rPr>
        <w:t xml:space="preserve"> </w:t>
      </w:r>
      <w:r w:rsidRPr="008707F8">
        <w:rPr>
          <w:rFonts w:cstheme="minorHAnsi"/>
          <w:i/>
          <w:iCs/>
          <w:color w:val="000000"/>
        </w:rPr>
        <w:t>and six storeys in height (with additional basement levels in places) to provide</w:t>
      </w:r>
      <w:r w:rsidR="00FF7B1B" w:rsidRPr="008707F8">
        <w:rPr>
          <w:rFonts w:cstheme="minorHAnsi"/>
          <w:i/>
          <w:iCs/>
          <w:color w:val="000000"/>
        </w:rPr>
        <w:t xml:space="preserve"> </w:t>
      </w:r>
      <w:r w:rsidRPr="008707F8">
        <w:rPr>
          <w:rFonts w:cstheme="minorHAnsi"/>
          <w:i/>
          <w:iCs/>
          <w:color w:val="000000"/>
        </w:rPr>
        <w:t>132 new dwellings in total (all use class C3), comprising 74 flats and 58</w:t>
      </w:r>
      <w:r w:rsidR="00FF7B1B" w:rsidRPr="008707F8">
        <w:rPr>
          <w:rFonts w:cstheme="minorHAnsi"/>
          <w:i/>
          <w:iCs/>
          <w:color w:val="000000"/>
        </w:rPr>
        <w:t xml:space="preserve"> </w:t>
      </w:r>
      <w:r w:rsidRPr="008707F8">
        <w:rPr>
          <w:rFonts w:cstheme="minorHAnsi"/>
          <w:i/>
          <w:iCs/>
          <w:color w:val="000000"/>
        </w:rPr>
        <w:t>houses, together with associated reconfiguration of the site access</w:t>
      </w:r>
      <w:r w:rsidR="00FF7B1B" w:rsidRPr="008707F8">
        <w:rPr>
          <w:rFonts w:cstheme="minorHAnsi"/>
          <w:i/>
          <w:iCs/>
          <w:color w:val="000000"/>
        </w:rPr>
        <w:t xml:space="preserve"> </w:t>
      </w:r>
      <w:r w:rsidRPr="008707F8">
        <w:rPr>
          <w:rFonts w:cstheme="minorHAnsi"/>
          <w:i/>
          <w:iCs/>
          <w:color w:val="000000"/>
        </w:rPr>
        <w:t>arrangements and alterations to parking, landscaping, refuse, recycling and</w:t>
      </w:r>
      <w:r w:rsidR="00FF7B1B" w:rsidRPr="008707F8">
        <w:rPr>
          <w:rFonts w:cstheme="minorHAnsi"/>
          <w:i/>
          <w:iCs/>
          <w:color w:val="000000"/>
        </w:rPr>
        <w:t xml:space="preserve"> </w:t>
      </w:r>
      <w:r w:rsidRPr="008707F8">
        <w:rPr>
          <w:rFonts w:cstheme="minorHAnsi"/>
          <w:i/>
          <w:iCs/>
          <w:color w:val="000000"/>
        </w:rPr>
        <w:t>other storage facilities and the provision of new play and communal amenity</w:t>
      </w:r>
      <w:r w:rsidR="00FF7B1B" w:rsidRPr="008707F8">
        <w:rPr>
          <w:rFonts w:cstheme="minorHAnsi"/>
          <w:i/>
          <w:iCs/>
          <w:color w:val="000000"/>
        </w:rPr>
        <w:t xml:space="preserve"> </w:t>
      </w:r>
      <w:r w:rsidRPr="008707F8">
        <w:rPr>
          <w:rFonts w:cstheme="minorHAnsi"/>
          <w:i/>
          <w:iCs/>
          <w:color w:val="000000"/>
        </w:rPr>
        <w:t>space.”</w:t>
      </w:r>
    </w:p>
    <w:p w14:paraId="0F384C66" w14:textId="2EA9F8EE" w:rsidR="00FF7B1B" w:rsidRPr="008707F8" w:rsidRDefault="000F2517" w:rsidP="008707F8">
      <w:pPr>
        <w:ind w:left="720" w:hanging="720"/>
        <w:rPr>
          <w:rFonts w:cstheme="minorHAnsi"/>
        </w:rPr>
      </w:pPr>
      <w:r w:rsidRPr="008707F8">
        <w:rPr>
          <w:rFonts w:cstheme="minorHAnsi"/>
          <w:color w:val="000000"/>
        </w:rPr>
        <w:t>5.4</w:t>
      </w:r>
      <w:r w:rsidRPr="008707F8">
        <w:rPr>
          <w:rFonts w:cstheme="minorHAnsi"/>
          <w:color w:val="000000"/>
        </w:rPr>
        <w:tab/>
      </w:r>
      <w:r w:rsidR="00FF7B1B" w:rsidRPr="008707F8">
        <w:rPr>
          <w:rFonts w:cstheme="minorHAnsi"/>
          <w:color w:val="000000"/>
        </w:rPr>
        <w:t>A non-material amendment appli</w:t>
      </w:r>
      <w:r w:rsidR="00C12CD1">
        <w:rPr>
          <w:rFonts w:cstheme="minorHAnsi"/>
          <w:color w:val="000000"/>
        </w:rPr>
        <w:t>cation (reference 17/5054/NMA)</w:t>
      </w:r>
      <w:r w:rsidR="00852E0A">
        <w:rPr>
          <w:rFonts w:cstheme="minorHAnsi"/>
          <w:color w:val="000000"/>
        </w:rPr>
        <w:t xml:space="preserve"> </w:t>
      </w:r>
      <w:r w:rsidR="00122316" w:rsidRPr="00CE0F79">
        <w:rPr>
          <w:rFonts w:cstheme="minorHAnsi"/>
          <w:color w:val="000000"/>
        </w:rPr>
        <w:t>(CD22)</w:t>
      </w:r>
      <w:r w:rsidR="00FF7B1B" w:rsidRPr="008707F8">
        <w:rPr>
          <w:rFonts w:cstheme="minorHAnsi"/>
          <w:color w:val="000000"/>
        </w:rPr>
        <w:t xml:space="preserve"> was approved by the Council as local planning authority on 15 November 2017. The amendments to the Planning Permission was to re-arrange the substation/pump room and replacement </w:t>
      </w:r>
      <w:r w:rsidR="00D26AA1">
        <w:rPr>
          <w:rFonts w:cstheme="minorHAnsi"/>
          <w:color w:val="000000"/>
        </w:rPr>
        <w:t>P</w:t>
      </w:r>
      <w:r w:rsidR="00FF7B1B" w:rsidRPr="008707F8">
        <w:rPr>
          <w:rFonts w:cstheme="minorHAnsi"/>
          <w:color w:val="000000"/>
        </w:rPr>
        <w:t>ramshed building adjacent to existing Granville Point Tower, and for the relocation of bike store for the new 'Block C'.</w:t>
      </w:r>
    </w:p>
    <w:p w14:paraId="7DD79EBF" w14:textId="3A97549F" w:rsidR="00FF7B1B" w:rsidRPr="008707F8" w:rsidRDefault="00FF7B1B" w:rsidP="008707F8">
      <w:pPr>
        <w:ind w:left="720" w:hanging="720"/>
        <w:rPr>
          <w:rFonts w:cstheme="minorHAnsi"/>
          <w:color w:val="000000"/>
        </w:rPr>
      </w:pPr>
      <w:r w:rsidRPr="008707F8">
        <w:rPr>
          <w:rFonts w:cstheme="minorHAnsi"/>
          <w:color w:val="000000"/>
        </w:rPr>
        <w:t>5.</w:t>
      </w:r>
      <w:r w:rsidR="000F2517" w:rsidRPr="008707F8">
        <w:rPr>
          <w:rFonts w:cstheme="minorHAnsi"/>
          <w:color w:val="000000"/>
        </w:rPr>
        <w:t>5</w:t>
      </w:r>
      <w:r w:rsidR="000F2517" w:rsidRPr="008707F8">
        <w:rPr>
          <w:rFonts w:cstheme="minorHAnsi"/>
          <w:color w:val="000000"/>
        </w:rPr>
        <w:tab/>
      </w:r>
      <w:r w:rsidR="00122316">
        <w:rPr>
          <w:rFonts w:cstheme="minorHAnsi"/>
          <w:color w:val="000000"/>
        </w:rPr>
        <w:t xml:space="preserve">As described by </w:t>
      </w:r>
      <w:r w:rsidR="00852E0A">
        <w:rPr>
          <w:rFonts w:cstheme="minorHAnsi"/>
          <w:color w:val="000000"/>
        </w:rPr>
        <w:t xml:space="preserve">Nicola </w:t>
      </w:r>
      <w:r w:rsidR="00122316">
        <w:rPr>
          <w:rFonts w:cstheme="minorHAnsi"/>
          <w:color w:val="000000"/>
        </w:rPr>
        <w:t>Bird (</w:t>
      </w:r>
      <w:r w:rsidR="00CE0F79">
        <w:rPr>
          <w:rFonts w:cstheme="minorHAnsi"/>
          <w:color w:val="000000"/>
        </w:rPr>
        <w:t>AA/</w:t>
      </w:r>
      <w:r w:rsidR="00122316">
        <w:rPr>
          <w:rFonts w:cstheme="minorHAnsi"/>
          <w:color w:val="000000"/>
        </w:rPr>
        <w:t>NB1.1</w:t>
      </w:r>
      <w:r w:rsidR="00CE0F79">
        <w:rPr>
          <w:rFonts w:cstheme="minorHAnsi"/>
          <w:color w:val="000000"/>
        </w:rPr>
        <w:t xml:space="preserve"> section 2</w:t>
      </w:r>
      <w:r w:rsidR="00122316">
        <w:rPr>
          <w:rFonts w:cstheme="minorHAnsi"/>
          <w:color w:val="000000"/>
        </w:rPr>
        <w:t>)</w:t>
      </w:r>
      <w:r w:rsidRPr="008707F8">
        <w:rPr>
          <w:rFonts w:cstheme="minorHAnsi"/>
          <w:color w:val="000000"/>
        </w:rPr>
        <w:t xml:space="preserve"> </w:t>
      </w:r>
      <w:r w:rsidR="00122316">
        <w:rPr>
          <w:rFonts w:cstheme="minorHAnsi"/>
          <w:color w:val="000000"/>
        </w:rPr>
        <w:t xml:space="preserve">the Phase 2 Scheme </w:t>
      </w:r>
      <w:r w:rsidRPr="008707F8">
        <w:rPr>
          <w:rFonts w:cstheme="minorHAnsi"/>
          <w:color w:val="000000"/>
        </w:rPr>
        <w:t>comprises part</w:t>
      </w:r>
      <w:r w:rsidR="00122316">
        <w:rPr>
          <w:rFonts w:cstheme="minorHAnsi"/>
          <w:color w:val="000000"/>
        </w:rPr>
        <w:t xml:space="preserve"> of the </w:t>
      </w:r>
      <w:r w:rsidR="00852E0A">
        <w:rPr>
          <w:rFonts w:cstheme="minorHAnsi"/>
          <w:color w:val="000000"/>
        </w:rPr>
        <w:t xml:space="preserve">Council’s </w:t>
      </w:r>
      <w:r w:rsidR="008014ED">
        <w:rPr>
          <w:rFonts w:cstheme="minorHAnsi"/>
          <w:color w:val="000000"/>
        </w:rPr>
        <w:t xml:space="preserve">wider </w:t>
      </w:r>
      <w:r w:rsidR="008014ED" w:rsidRPr="008707F8">
        <w:rPr>
          <w:rFonts w:cstheme="minorHAnsi"/>
          <w:color w:val="000000"/>
        </w:rPr>
        <w:t>redevelopment</w:t>
      </w:r>
      <w:r w:rsidRPr="008707F8">
        <w:rPr>
          <w:rFonts w:cstheme="minorHAnsi"/>
          <w:color w:val="000000"/>
        </w:rPr>
        <w:t xml:space="preserve"> of land and buildings on the Granville Road Estate.  </w:t>
      </w:r>
    </w:p>
    <w:p w14:paraId="53F20058" w14:textId="5BDD32EB" w:rsidR="00FF7B1B" w:rsidRPr="008707F8" w:rsidRDefault="00FF7B1B" w:rsidP="008707F8">
      <w:pPr>
        <w:ind w:left="720" w:hanging="720"/>
        <w:rPr>
          <w:rFonts w:cstheme="minorHAnsi"/>
        </w:rPr>
      </w:pPr>
      <w:r w:rsidRPr="008707F8">
        <w:rPr>
          <w:rFonts w:cstheme="minorHAnsi"/>
        </w:rPr>
        <w:t>5.</w:t>
      </w:r>
      <w:r w:rsidR="008707F8" w:rsidRPr="008707F8">
        <w:rPr>
          <w:rFonts w:cstheme="minorHAnsi"/>
        </w:rPr>
        <w:t>6</w:t>
      </w:r>
      <w:r w:rsidRPr="008707F8">
        <w:rPr>
          <w:rFonts w:cstheme="minorHAnsi"/>
        </w:rPr>
        <w:t xml:space="preserve"> </w:t>
      </w:r>
      <w:r w:rsidR="008707F8" w:rsidRPr="008707F8">
        <w:rPr>
          <w:rFonts w:cstheme="minorHAnsi"/>
        </w:rPr>
        <w:tab/>
      </w:r>
      <w:r w:rsidR="00122316">
        <w:rPr>
          <w:rFonts w:cstheme="minorHAnsi"/>
        </w:rPr>
        <w:t>The new h</w:t>
      </w:r>
      <w:r w:rsidRPr="008707F8">
        <w:rPr>
          <w:rFonts w:cstheme="minorHAnsi"/>
        </w:rPr>
        <w:t xml:space="preserve">ousing will form a linear development fronting Granville Road and </w:t>
      </w:r>
      <w:proofErr w:type="spellStart"/>
      <w:r w:rsidRPr="008707F8">
        <w:rPr>
          <w:rFonts w:cstheme="minorHAnsi"/>
        </w:rPr>
        <w:t>Llanelly</w:t>
      </w:r>
      <w:proofErr w:type="spellEnd"/>
      <w:r w:rsidRPr="008707F8">
        <w:rPr>
          <w:rFonts w:cstheme="minorHAnsi"/>
        </w:rPr>
        <w:t xml:space="preserve"> Road, mirroring the prevailing traditional layout of streets and development to the east. Dwelling sizes will range from two </w:t>
      </w:r>
      <w:proofErr w:type="gramStart"/>
      <w:r w:rsidRPr="008707F8">
        <w:rPr>
          <w:rFonts w:cstheme="minorHAnsi"/>
        </w:rPr>
        <w:t>bedroom</w:t>
      </w:r>
      <w:proofErr w:type="gramEnd"/>
      <w:r w:rsidRPr="008707F8">
        <w:rPr>
          <w:rFonts w:cstheme="minorHAnsi"/>
        </w:rPr>
        <w:t xml:space="preserve"> to four bedroom properties. A new </w:t>
      </w:r>
      <w:proofErr w:type="spellStart"/>
      <w:r w:rsidRPr="008707F8">
        <w:rPr>
          <w:rFonts w:cstheme="minorHAnsi"/>
        </w:rPr>
        <w:t>cul-desac</w:t>
      </w:r>
      <w:proofErr w:type="spellEnd"/>
      <w:r w:rsidRPr="008707F8">
        <w:rPr>
          <w:rFonts w:cstheme="minorHAnsi"/>
        </w:rPr>
        <w:t xml:space="preserve"> is proposed on the former site of Garth House, backing onto Cloister Road.</w:t>
      </w:r>
    </w:p>
    <w:p w14:paraId="06040CA9" w14:textId="77777777" w:rsidR="00FF7B1B" w:rsidRPr="008707F8" w:rsidRDefault="00FF7B1B" w:rsidP="008707F8">
      <w:pPr>
        <w:ind w:left="720" w:hanging="720"/>
        <w:rPr>
          <w:rFonts w:cstheme="minorHAnsi"/>
        </w:rPr>
      </w:pPr>
      <w:r w:rsidRPr="008707F8">
        <w:rPr>
          <w:rFonts w:cstheme="minorHAnsi"/>
        </w:rPr>
        <w:t>5.</w:t>
      </w:r>
      <w:r w:rsidR="008707F8" w:rsidRPr="008707F8">
        <w:rPr>
          <w:rFonts w:cstheme="minorHAnsi"/>
        </w:rPr>
        <w:t>7</w:t>
      </w:r>
      <w:r w:rsidRPr="008707F8">
        <w:rPr>
          <w:rFonts w:cstheme="minorHAnsi"/>
        </w:rPr>
        <w:t xml:space="preserve"> </w:t>
      </w:r>
      <w:r w:rsidR="008707F8" w:rsidRPr="008707F8">
        <w:rPr>
          <w:rFonts w:cstheme="minorHAnsi"/>
        </w:rPr>
        <w:tab/>
      </w:r>
      <w:r w:rsidRPr="008707F8">
        <w:rPr>
          <w:rFonts w:cstheme="minorHAnsi"/>
        </w:rPr>
        <w:t xml:space="preserve">The houses will be a mix of 2 and 3 storeys. Each house will benefit from a private rear garden and separate entrance off the street, with further area to the front utilised for refuse and cycle storage. </w:t>
      </w:r>
    </w:p>
    <w:p w14:paraId="646656F4" w14:textId="77777777" w:rsidR="008707F8" w:rsidRPr="008707F8" w:rsidRDefault="00FF7B1B" w:rsidP="008707F8">
      <w:pPr>
        <w:ind w:left="720" w:hanging="720"/>
        <w:rPr>
          <w:rFonts w:cstheme="minorHAnsi"/>
        </w:rPr>
      </w:pPr>
      <w:r w:rsidRPr="008707F8">
        <w:rPr>
          <w:rFonts w:cstheme="minorHAnsi"/>
        </w:rPr>
        <w:t>5.</w:t>
      </w:r>
      <w:r w:rsidR="008707F8" w:rsidRPr="008707F8">
        <w:rPr>
          <w:rFonts w:cstheme="minorHAnsi"/>
        </w:rPr>
        <w:t>8</w:t>
      </w:r>
      <w:r w:rsidRPr="008707F8">
        <w:rPr>
          <w:rFonts w:cstheme="minorHAnsi"/>
        </w:rPr>
        <w:t xml:space="preserve"> </w:t>
      </w:r>
      <w:r w:rsidR="008707F8" w:rsidRPr="008707F8">
        <w:rPr>
          <w:rFonts w:cstheme="minorHAnsi"/>
        </w:rPr>
        <w:tab/>
      </w:r>
      <w:r w:rsidRPr="008707F8">
        <w:rPr>
          <w:rFonts w:cstheme="minorHAnsi"/>
        </w:rPr>
        <w:t xml:space="preserve">One 5-storey flat block (Block A) will occupy the site of Beech Court in the site’s north west corner, with a further 6-storey detached block with 2- and 3-storey elements (Block C) north of </w:t>
      </w:r>
      <w:proofErr w:type="spellStart"/>
      <w:r w:rsidRPr="008707F8">
        <w:rPr>
          <w:rFonts w:cstheme="minorHAnsi"/>
        </w:rPr>
        <w:t>Templewood</w:t>
      </w:r>
      <w:proofErr w:type="spellEnd"/>
      <w:r w:rsidRPr="008707F8">
        <w:rPr>
          <w:rFonts w:cstheme="minorHAnsi"/>
        </w:rPr>
        <w:t xml:space="preserve"> Point. Proposed Block B is a 3-storey block of flats adjoining Nant Court immediately north and forming a new gateway along the Nant Road westerly approach to the site, flanked by a row of four new houses on the northern side.</w:t>
      </w:r>
    </w:p>
    <w:p w14:paraId="2ED291B8" w14:textId="77777777" w:rsidR="00FF7B1B" w:rsidRPr="008707F8" w:rsidRDefault="00FF7B1B" w:rsidP="008707F8">
      <w:pPr>
        <w:ind w:left="720" w:hanging="720"/>
        <w:rPr>
          <w:rFonts w:cstheme="minorHAnsi"/>
          <w:color w:val="000000"/>
        </w:rPr>
      </w:pPr>
      <w:r w:rsidRPr="008707F8">
        <w:rPr>
          <w:rFonts w:cstheme="minorHAnsi"/>
          <w:color w:val="000000"/>
        </w:rPr>
        <w:t>5.</w:t>
      </w:r>
      <w:r w:rsidR="008707F8">
        <w:rPr>
          <w:rFonts w:cstheme="minorHAnsi"/>
          <w:color w:val="000000"/>
        </w:rPr>
        <w:t>9</w:t>
      </w:r>
      <w:r w:rsidRPr="008707F8">
        <w:rPr>
          <w:rFonts w:cstheme="minorHAnsi"/>
          <w:color w:val="000000"/>
        </w:rPr>
        <w:t xml:space="preserve"> </w:t>
      </w:r>
      <w:r w:rsidR="008707F8">
        <w:rPr>
          <w:rFonts w:cstheme="minorHAnsi"/>
          <w:color w:val="000000"/>
        </w:rPr>
        <w:tab/>
      </w:r>
      <w:r w:rsidRPr="008707F8">
        <w:rPr>
          <w:rFonts w:cstheme="minorHAnsi"/>
          <w:color w:val="000000"/>
        </w:rPr>
        <w:t xml:space="preserve">A new road layout is proposed for the development, allowing access through the site and joining </w:t>
      </w:r>
      <w:proofErr w:type="spellStart"/>
      <w:r w:rsidRPr="008707F8">
        <w:rPr>
          <w:rFonts w:cstheme="minorHAnsi"/>
          <w:color w:val="000000"/>
        </w:rPr>
        <w:t>Llanelly</w:t>
      </w:r>
      <w:proofErr w:type="spellEnd"/>
      <w:r w:rsidRPr="008707F8">
        <w:rPr>
          <w:rFonts w:cstheme="minorHAnsi"/>
          <w:color w:val="000000"/>
        </w:rPr>
        <w:t xml:space="preserve"> Road with Granville Road to the north. This new layout is designed with built-in traffic calming measures, including a road layout that includes a sharp turn through the site, slowing traffic and precluding direct views through the estate. Careful design of hard surfacing treatments will create a less formal and traditional highways character. The altered </w:t>
      </w:r>
      <w:r w:rsidRPr="008707F8">
        <w:rPr>
          <w:rFonts w:cstheme="minorHAnsi"/>
          <w:color w:val="000000"/>
        </w:rPr>
        <w:lastRenderedPageBreak/>
        <w:t>junction priority at the north of the site will require vehicles to turn off Granville Road and Nant Road to enter the estate.</w:t>
      </w:r>
    </w:p>
    <w:p w14:paraId="5F2CFC16" w14:textId="77777777" w:rsidR="00FF7B1B" w:rsidRPr="008707F8" w:rsidRDefault="00FF7B1B" w:rsidP="008707F8">
      <w:pPr>
        <w:ind w:left="720" w:hanging="720"/>
        <w:rPr>
          <w:rFonts w:cstheme="minorHAnsi"/>
          <w:color w:val="000000"/>
        </w:rPr>
      </w:pPr>
      <w:r w:rsidRPr="008707F8">
        <w:rPr>
          <w:rFonts w:cstheme="minorHAnsi"/>
          <w:color w:val="000000"/>
        </w:rPr>
        <w:t>5.1</w:t>
      </w:r>
      <w:r w:rsidR="008707F8">
        <w:rPr>
          <w:rFonts w:cstheme="minorHAnsi"/>
          <w:color w:val="000000"/>
        </w:rPr>
        <w:t>0</w:t>
      </w:r>
      <w:r w:rsidRPr="008707F8">
        <w:rPr>
          <w:rFonts w:cstheme="minorHAnsi"/>
          <w:color w:val="000000"/>
        </w:rPr>
        <w:t xml:space="preserve"> </w:t>
      </w:r>
      <w:r w:rsidR="008707F8">
        <w:rPr>
          <w:rFonts w:cstheme="minorHAnsi"/>
          <w:color w:val="000000"/>
        </w:rPr>
        <w:tab/>
      </w:r>
      <w:r w:rsidRPr="008707F8">
        <w:rPr>
          <w:rFonts w:cstheme="minorHAnsi"/>
          <w:color w:val="000000"/>
        </w:rPr>
        <w:t xml:space="preserve">The existing pedestrian and cycle routes through the site are to be retained and enhanced through the provision of increased overlooking and appropriate boundary treatment.  Secure cycle parking will be provided for residents of the new properties within the communal public realm areas. </w:t>
      </w:r>
    </w:p>
    <w:p w14:paraId="5BCFB354" w14:textId="3FA7066E" w:rsidR="00FF7B1B" w:rsidRDefault="00FF7B1B" w:rsidP="008707F8">
      <w:pPr>
        <w:ind w:left="720" w:hanging="720"/>
        <w:rPr>
          <w:rFonts w:cstheme="minorHAnsi"/>
          <w:color w:val="000000"/>
        </w:rPr>
      </w:pPr>
      <w:r w:rsidRPr="008707F8">
        <w:rPr>
          <w:rFonts w:cstheme="minorHAnsi"/>
          <w:color w:val="000000"/>
        </w:rPr>
        <w:t>5.1</w:t>
      </w:r>
      <w:r w:rsidR="008707F8">
        <w:rPr>
          <w:rFonts w:cstheme="minorHAnsi"/>
          <w:color w:val="000000"/>
        </w:rPr>
        <w:t>1</w:t>
      </w:r>
      <w:r w:rsidRPr="008707F8">
        <w:rPr>
          <w:rFonts w:cstheme="minorHAnsi"/>
          <w:color w:val="000000"/>
        </w:rPr>
        <w:t xml:space="preserve"> </w:t>
      </w:r>
      <w:r w:rsidR="008707F8">
        <w:rPr>
          <w:rFonts w:cstheme="minorHAnsi"/>
          <w:color w:val="000000"/>
        </w:rPr>
        <w:tab/>
      </w:r>
      <w:r w:rsidRPr="008707F8">
        <w:rPr>
          <w:rFonts w:cstheme="minorHAnsi"/>
          <w:color w:val="000000"/>
        </w:rPr>
        <w:t>Vehicle parking is to be provided through a combination of on-street parking, surface parking courts and basement parking below the two-proposed detached flat blocks (Blocks A and C). In total, 330 spaces will be provided across the site, apportioned and allocated to serve proposed and existing dwellings on an equal basis, with no difference in provision between the two and provision based purely on dwelling size. This includes 28 disability spaces. Additionally, two dedicated car club spaces are to be provided on site. Existing residents will be provided with 196 formal parking spaces, an</w:t>
      </w:r>
      <w:r w:rsidR="008707F8">
        <w:rPr>
          <w:rFonts w:cstheme="minorHAnsi"/>
          <w:color w:val="000000"/>
        </w:rPr>
        <w:t xml:space="preserve"> </w:t>
      </w:r>
      <w:r w:rsidRPr="008707F8">
        <w:rPr>
          <w:rFonts w:cstheme="minorHAnsi"/>
          <w:color w:val="000000"/>
        </w:rPr>
        <w:t>increase of 46 spaces from the current formal provision and more than observed levels of parking across the estate.</w:t>
      </w:r>
    </w:p>
    <w:p w14:paraId="4A1F8777" w14:textId="77777777" w:rsidR="00FF7B1B" w:rsidRPr="008707F8" w:rsidRDefault="008707F8" w:rsidP="008707F8">
      <w:pPr>
        <w:rPr>
          <w:rFonts w:cstheme="minorHAnsi"/>
        </w:rPr>
      </w:pPr>
      <w:r>
        <w:rPr>
          <w:rFonts w:cstheme="minorHAnsi"/>
          <w:color w:val="000000"/>
        </w:rPr>
        <w:t>5.1</w:t>
      </w:r>
      <w:r w:rsidR="00FF7B1B" w:rsidRPr="008707F8">
        <w:rPr>
          <w:rFonts w:cstheme="minorHAnsi"/>
          <w:color w:val="000000"/>
        </w:rPr>
        <w:t xml:space="preserve">2 </w:t>
      </w:r>
      <w:r w:rsidR="00E71A6D">
        <w:rPr>
          <w:rFonts w:cstheme="minorHAnsi"/>
          <w:color w:val="000000"/>
        </w:rPr>
        <w:tab/>
      </w:r>
      <w:r w:rsidR="00FF7B1B" w:rsidRPr="008707F8">
        <w:rPr>
          <w:rFonts w:cstheme="minorHAnsi"/>
          <w:color w:val="000000"/>
        </w:rPr>
        <w:t xml:space="preserve">The Phase 2 Scheme works programme is itself split into two phases: </w:t>
      </w:r>
    </w:p>
    <w:p w14:paraId="369CB3ED" w14:textId="77777777" w:rsidR="00FF7B1B" w:rsidRPr="00E71A6D" w:rsidRDefault="00FF7B1B" w:rsidP="00E71A6D">
      <w:pPr>
        <w:pStyle w:val="ListParagraph"/>
        <w:numPr>
          <w:ilvl w:val="0"/>
          <w:numId w:val="7"/>
        </w:numPr>
        <w:ind w:left="1434" w:hanging="357"/>
        <w:contextualSpacing w:val="0"/>
        <w:rPr>
          <w:rFonts w:cstheme="minorHAnsi"/>
        </w:rPr>
      </w:pPr>
      <w:r w:rsidRPr="00E71A6D">
        <w:rPr>
          <w:rFonts w:cstheme="minorHAnsi"/>
          <w:color w:val="000000"/>
        </w:rPr>
        <w:t xml:space="preserve">Phase 1 is the southern end of Granville Road Estate including the construction of new dwellings at 'The Close' and a new block called 'The Square', together with landscaping and infrastructure. </w:t>
      </w:r>
    </w:p>
    <w:p w14:paraId="49180B18" w14:textId="70CF9922" w:rsidR="00C50540" w:rsidRPr="00C50540" w:rsidRDefault="00FF7B1B">
      <w:pPr>
        <w:pStyle w:val="ListParagraph"/>
        <w:numPr>
          <w:ilvl w:val="0"/>
          <w:numId w:val="7"/>
        </w:numPr>
        <w:ind w:left="1434" w:hanging="357"/>
        <w:contextualSpacing w:val="0"/>
        <w:rPr>
          <w:rFonts w:cstheme="minorHAnsi"/>
        </w:rPr>
      </w:pPr>
      <w:r w:rsidRPr="00E71A6D">
        <w:rPr>
          <w:rFonts w:cstheme="minorHAnsi"/>
          <w:color w:val="000000"/>
        </w:rPr>
        <w:t>Phase 2 is the northern end of Granville Road Estate including new dwellings along 'The Row' and new blocks called 'The Court' and 'The Gateway', together with landscaping and infrastructure.</w:t>
      </w:r>
    </w:p>
    <w:p w14:paraId="10B68820" w14:textId="3DF56392" w:rsidR="00C50540" w:rsidRDefault="00C50540" w:rsidP="00C50540">
      <w:pPr>
        <w:rPr>
          <w:rFonts w:cstheme="minorHAnsi"/>
        </w:rPr>
      </w:pPr>
      <w:r>
        <w:rPr>
          <w:rFonts w:cstheme="minorHAnsi"/>
        </w:rPr>
        <w:t>5.13</w:t>
      </w:r>
      <w:r>
        <w:rPr>
          <w:rFonts w:cstheme="minorHAnsi"/>
        </w:rPr>
        <w:tab/>
        <w:t>The Planning Permission (</w:t>
      </w:r>
      <w:r w:rsidRPr="00CE0F79">
        <w:rPr>
          <w:rFonts w:cstheme="minorHAnsi"/>
        </w:rPr>
        <w:t>CD20</w:t>
      </w:r>
      <w:r>
        <w:rPr>
          <w:rFonts w:cstheme="minorHAnsi"/>
        </w:rPr>
        <w:t>) was granted subject to 42 conditions.</w:t>
      </w:r>
    </w:p>
    <w:p w14:paraId="16B52266" w14:textId="23FF59F8" w:rsidR="00C50540" w:rsidRDefault="00C50540" w:rsidP="008360F6">
      <w:pPr>
        <w:ind w:left="1440" w:hanging="720"/>
        <w:rPr>
          <w:rFonts w:cstheme="minorHAnsi"/>
        </w:rPr>
      </w:pPr>
      <w:r>
        <w:rPr>
          <w:rFonts w:cstheme="minorHAnsi"/>
        </w:rPr>
        <w:t>5.13.1</w:t>
      </w:r>
      <w:r>
        <w:rPr>
          <w:rFonts w:cstheme="minorHAnsi"/>
        </w:rPr>
        <w:tab/>
        <w:t xml:space="preserve">It must be commenced by 8 August 2019 (condition 1).  In order </w:t>
      </w:r>
      <w:r w:rsidR="006047FF">
        <w:rPr>
          <w:rFonts w:cstheme="minorHAnsi"/>
        </w:rPr>
        <w:t xml:space="preserve">to </w:t>
      </w:r>
      <w:r>
        <w:rPr>
          <w:rFonts w:cstheme="minorHAnsi"/>
        </w:rPr>
        <w:t xml:space="preserve">lawfully </w:t>
      </w:r>
      <w:r w:rsidR="00DB0B6C">
        <w:rPr>
          <w:rFonts w:cstheme="minorHAnsi"/>
        </w:rPr>
        <w:t xml:space="preserve">to </w:t>
      </w:r>
      <w:r>
        <w:rPr>
          <w:rFonts w:cstheme="minorHAnsi"/>
        </w:rPr>
        <w:t>commence</w:t>
      </w:r>
      <w:r w:rsidR="00DB0B6C">
        <w:rPr>
          <w:rFonts w:cstheme="minorHAnsi"/>
        </w:rPr>
        <w:t xml:space="preserve"> the development</w:t>
      </w:r>
      <w:r>
        <w:rPr>
          <w:rFonts w:cstheme="minorHAnsi"/>
        </w:rPr>
        <w:t xml:space="preserve"> the following pre-commencement </w:t>
      </w:r>
      <w:r w:rsidR="008014ED">
        <w:rPr>
          <w:rFonts w:cstheme="minorHAnsi"/>
        </w:rPr>
        <w:t>conditions</w:t>
      </w:r>
      <w:r>
        <w:rPr>
          <w:rFonts w:cstheme="minorHAnsi"/>
        </w:rPr>
        <w:t xml:space="preserve"> need to be discharged:</w:t>
      </w:r>
    </w:p>
    <w:p w14:paraId="47ABDEA1" w14:textId="644DAFBE" w:rsidR="00C50540" w:rsidRDefault="00C50540" w:rsidP="00F740C4">
      <w:pPr>
        <w:pStyle w:val="ListParagraph"/>
        <w:numPr>
          <w:ilvl w:val="0"/>
          <w:numId w:val="16"/>
        </w:numPr>
        <w:contextualSpacing w:val="0"/>
        <w:rPr>
          <w:rFonts w:cstheme="minorHAnsi"/>
        </w:rPr>
      </w:pPr>
      <w:r>
        <w:rPr>
          <w:rFonts w:cstheme="minorHAnsi"/>
        </w:rPr>
        <w:t xml:space="preserve">Condition 3 dealing with approval of external materials  </w:t>
      </w:r>
    </w:p>
    <w:p w14:paraId="2DC70B37" w14:textId="01441452" w:rsidR="00C50540" w:rsidRDefault="00C50540" w:rsidP="00F740C4">
      <w:pPr>
        <w:pStyle w:val="ListParagraph"/>
        <w:numPr>
          <w:ilvl w:val="0"/>
          <w:numId w:val="16"/>
        </w:numPr>
        <w:spacing w:before="240"/>
        <w:ind w:left="1797" w:hanging="357"/>
        <w:contextualSpacing w:val="0"/>
        <w:rPr>
          <w:rFonts w:cstheme="minorHAnsi"/>
        </w:rPr>
      </w:pPr>
      <w:r>
        <w:rPr>
          <w:rFonts w:cstheme="minorHAnsi"/>
        </w:rPr>
        <w:t>Condi</w:t>
      </w:r>
      <w:r w:rsidR="008360F6">
        <w:rPr>
          <w:rFonts w:cstheme="minorHAnsi"/>
        </w:rPr>
        <w:t xml:space="preserve">tion 4 dealing with levels </w:t>
      </w:r>
    </w:p>
    <w:p w14:paraId="27E2C64C" w14:textId="69A8CD4C" w:rsidR="00C50540" w:rsidRDefault="00C50540" w:rsidP="00F740C4">
      <w:pPr>
        <w:pStyle w:val="ListParagraph"/>
        <w:numPr>
          <w:ilvl w:val="0"/>
          <w:numId w:val="16"/>
        </w:numPr>
        <w:spacing w:before="240"/>
        <w:ind w:left="1797" w:hanging="357"/>
        <w:contextualSpacing w:val="0"/>
        <w:rPr>
          <w:rFonts w:cstheme="minorHAnsi"/>
        </w:rPr>
      </w:pPr>
      <w:r>
        <w:rPr>
          <w:rFonts w:cstheme="minorHAnsi"/>
        </w:rPr>
        <w:t>Condition 13 dealing with ground investigat</w:t>
      </w:r>
      <w:r w:rsidR="008014ED">
        <w:rPr>
          <w:rFonts w:cstheme="minorHAnsi"/>
        </w:rPr>
        <w:t xml:space="preserve">ion </w:t>
      </w:r>
    </w:p>
    <w:p w14:paraId="19F09F2A" w14:textId="4AF91EED" w:rsidR="00C50540" w:rsidRDefault="00C50540" w:rsidP="00F740C4">
      <w:pPr>
        <w:pStyle w:val="ListParagraph"/>
        <w:numPr>
          <w:ilvl w:val="0"/>
          <w:numId w:val="16"/>
        </w:numPr>
        <w:spacing w:before="240"/>
        <w:ind w:left="1797" w:hanging="357"/>
        <w:contextualSpacing w:val="0"/>
        <w:rPr>
          <w:rFonts w:cstheme="minorHAnsi"/>
        </w:rPr>
      </w:pPr>
      <w:r>
        <w:rPr>
          <w:rFonts w:cstheme="minorHAnsi"/>
        </w:rPr>
        <w:t>Condition 15 dealing with biodiversity enhancement</w:t>
      </w:r>
    </w:p>
    <w:p w14:paraId="3F16D2E5" w14:textId="13DBA3C6" w:rsidR="00C50540" w:rsidRDefault="00C50540" w:rsidP="00F740C4">
      <w:pPr>
        <w:pStyle w:val="ListParagraph"/>
        <w:numPr>
          <w:ilvl w:val="0"/>
          <w:numId w:val="16"/>
        </w:numPr>
        <w:spacing w:before="240"/>
        <w:ind w:left="1797" w:hanging="357"/>
        <w:contextualSpacing w:val="0"/>
        <w:rPr>
          <w:rFonts w:cstheme="minorHAnsi"/>
        </w:rPr>
      </w:pPr>
      <w:r>
        <w:rPr>
          <w:rFonts w:cstheme="minorHAnsi"/>
        </w:rPr>
        <w:t>Condition 16 dealing with managing the impact on breeding birds</w:t>
      </w:r>
    </w:p>
    <w:p w14:paraId="0B6DA6BF" w14:textId="04A20EB3" w:rsidR="00C50540" w:rsidRDefault="00C50540" w:rsidP="00F740C4">
      <w:pPr>
        <w:pStyle w:val="ListParagraph"/>
        <w:numPr>
          <w:ilvl w:val="0"/>
          <w:numId w:val="16"/>
        </w:numPr>
        <w:spacing w:before="240"/>
        <w:ind w:left="1797" w:hanging="357"/>
        <w:contextualSpacing w:val="0"/>
        <w:rPr>
          <w:rFonts w:cstheme="minorHAnsi"/>
        </w:rPr>
      </w:pPr>
      <w:r>
        <w:rPr>
          <w:rFonts w:cstheme="minorHAnsi"/>
        </w:rPr>
        <w:t>Condition 17 dealing with sustainable drainage</w:t>
      </w:r>
    </w:p>
    <w:p w14:paraId="581A9EF9" w14:textId="59CBAF39" w:rsidR="003A3149" w:rsidRDefault="003A3149" w:rsidP="00F740C4">
      <w:pPr>
        <w:pStyle w:val="ListParagraph"/>
        <w:numPr>
          <w:ilvl w:val="0"/>
          <w:numId w:val="16"/>
        </w:numPr>
        <w:spacing w:before="240"/>
        <w:ind w:left="1797" w:hanging="357"/>
        <w:contextualSpacing w:val="0"/>
        <w:rPr>
          <w:rFonts w:cstheme="minorHAnsi"/>
        </w:rPr>
      </w:pPr>
      <w:r>
        <w:rPr>
          <w:rFonts w:cstheme="minorHAnsi"/>
        </w:rPr>
        <w:t>Condition 19 producing a piling method statement</w:t>
      </w:r>
    </w:p>
    <w:p w14:paraId="61BFF2EE" w14:textId="3C9FB0EC" w:rsidR="00C50540" w:rsidRDefault="00C50540" w:rsidP="00F740C4">
      <w:pPr>
        <w:pStyle w:val="ListParagraph"/>
        <w:numPr>
          <w:ilvl w:val="0"/>
          <w:numId w:val="16"/>
        </w:numPr>
        <w:spacing w:before="240"/>
        <w:ind w:left="1797" w:hanging="357"/>
        <w:contextualSpacing w:val="0"/>
        <w:rPr>
          <w:rFonts w:cstheme="minorHAnsi"/>
        </w:rPr>
      </w:pPr>
      <w:r>
        <w:rPr>
          <w:rFonts w:cstheme="minorHAnsi"/>
        </w:rPr>
        <w:t>Condition 21 dealing with air pollution mitigation measures</w:t>
      </w:r>
    </w:p>
    <w:p w14:paraId="3552D341" w14:textId="57C23349" w:rsidR="00C50540" w:rsidRDefault="00C50540" w:rsidP="00F740C4">
      <w:pPr>
        <w:pStyle w:val="ListParagraph"/>
        <w:numPr>
          <w:ilvl w:val="0"/>
          <w:numId w:val="16"/>
        </w:numPr>
        <w:spacing w:before="240"/>
        <w:ind w:left="1797" w:hanging="357"/>
        <w:contextualSpacing w:val="0"/>
        <w:rPr>
          <w:rFonts w:cstheme="minorHAnsi"/>
        </w:rPr>
      </w:pPr>
      <w:r>
        <w:rPr>
          <w:rFonts w:cstheme="minorHAnsi"/>
        </w:rPr>
        <w:lastRenderedPageBreak/>
        <w:t>Condition 23 dealing with noise impac</w:t>
      </w:r>
      <w:r w:rsidR="008C3A3F">
        <w:rPr>
          <w:rFonts w:cstheme="minorHAnsi"/>
        </w:rPr>
        <w:t>t</w:t>
      </w:r>
      <w:r>
        <w:rPr>
          <w:rFonts w:cstheme="minorHAnsi"/>
        </w:rPr>
        <w:t xml:space="preserve"> mitigation</w:t>
      </w:r>
      <w:r w:rsidR="008C3A3F">
        <w:rPr>
          <w:rFonts w:cstheme="minorHAnsi"/>
        </w:rPr>
        <w:t xml:space="preserve"> </w:t>
      </w:r>
    </w:p>
    <w:p w14:paraId="5036692F" w14:textId="660C13F5" w:rsidR="003A3149" w:rsidRDefault="003A3149" w:rsidP="00F740C4">
      <w:pPr>
        <w:pStyle w:val="ListParagraph"/>
        <w:numPr>
          <w:ilvl w:val="0"/>
          <w:numId w:val="16"/>
        </w:numPr>
        <w:spacing w:before="240"/>
        <w:ind w:left="1797" w:hanging="357"/>
        <w:contextualSpacing w:val="0"/>
        <w:rPr>
          <w:rFonts w:cstheme="minorHAnsi"/>
        </w:rPr>
      </w:pPr>
      <w:r>
        <w:rPr>
          <w:rFonts w:cstheme="minorHAnsi"/>
        </w:rPr>
        <w:t>Condition 24 dealing with extraction / ventilation</w:t>
      </w:r>
    </w:p>
    <w:p w14:paraId="786679F0" w14:textId="6048B970" w:rsidR="003A3149" w:rsidRDefault="003A3149" w:rsidP="00F740C4">
      <w:pPr>
        <w:pStyle w:val="ListParagraph"/>
        <w:numPr>
          <w:ilvl w:val="0"/>
          <w:numId w:val="16"/>
        </w:numPr>
        <w:spacing w:before="240"/>
        <w:ind w:left="1797" w:hanging="357"/>
        <w:contextualSpacing w:val="0"/>
        <w:rPr>
          <w:rFonts w:cstheme="minorHAnsi"/>
        </w:rPr>
      </w:pPr>
      <w:r>
        <w:rPr>
          <w:rFonts w:cstheme="minorHAnsi"/>
        </w:rPr>
        <w:t xml:space="preserve">Condition 25 producing an acoustic report for extraction / </w:t>
      </w:r>
      <w:proofErr w:type="spellStart"/>
      <w:r>
        <w:rPr>
          <w:rFonts w:cstheme="minorHAnsi"/>
        </w:rPr>
        <w:t>ventialtion</w:t>
      </w:r>
      <w:proofErr w:type="spellEnd"/>
    </w:p>
    <w:p w14:paraId="3C132AC1" w14:textId="446663FA" w:rsidR="00C50540" w:rsidRDefault="00C50540" w:rsidP="00F740C4">
      <w:pPr>
        <w:pStyle w:val="ListParagraph"/>
        <w:numPr>
          <w:ilvl w:val="0"/>
          <w:numId w:val="16"/>
        </w:numPr>
        <w:spacing w:before="240"/>
        <w:ind w:left="1797" w:hanging="357"/>
        <w:contextualSpacing w:val="0"/>
        <w:rPr>
          <w:rFonts w:cstheme="minorHAnsi"/>
        </w:rPr>
      </w:pPr>
      <w:r>
        <w:rPr>
          <w:rFonts w:cstheme="minorHAnsi"/>
        </w:rPr>
        <w:t>Condition 27 dealing with approval of building materials</w:t>
      </w:r>
    </w:p>
    <w:p w14:paraId="5403094D" w14:textId="0958484E" w:rsidR="00C50540" w:rsidRDefault="00C50540" w:rsidP="00F740C4">
      <w:pPr>
        <w:pStyle w:val="ListParagraph"/>
        <w:numPr>
          <w:ilvl w:val="0"/>
          <w:numId w:val="16"/>
        </w:numPr>
        <w:spacing w:before="240"/>
        <w:ind w:left="1797" w:hanging="357"/>
        <w:contextualSpacing w:val="0"/>
        <w:rPr>
          <w:rFonts w:cstheme="minorHAnsi"/>
        </w:rPr>
      </w:pPr>
      <w:r>
        <w:rPr>
          <w:rFonts w:cstheme="minorHAnsi"/>
        </w:rPr>
        <w:t>Condition 28 dealing with approval of boundary treatments</w:t>
      </w:r>
    </w:p>
    <w:p w14:paraId="09F9CEC9" w14:textId="51C9622E" w:rsidR="00C50540" w:rsidRDefault="00C50540" w:rsidP="00F740C4">
      <w:pPr>
        <w:pStyle w:val="ListParagraph"/>
        <w:numPr>
          <w:ilvl w:val="0"/>
          <w:numId w:val="16"/>
        </w:numPr>
        <w:spacing w:before="240"/>
        <w:ind w:left="1797" w:hanging="357"/>
        <w:contextualSpacing w:val="0"/>
        <w:rPr>
          <w:rFonts w:cstheme="minorHAnsi"/>
        </w:rPr>
      </w:pPr>
      <w:r>
        <w:rPr>
          <w:rFonts w:cstheme="minorHAnsi"/>
        </w:rPr>
        <w:t>Condition 29 dealing with approval of landscaping</w:t>
      </w:r>
    </w:p>
    <w:p w14:paraId="4A018E11" w14:textId="652A29CB" w:rsidR="00C50540" w:rsidRDefault="00C50540" w:rsidP="00F740C4">
      <w:pPr>
        <w:pStyle w:val="ListParagraph"/>
        <w:numPr>
          <w:ilvl w:val="0"/>
          <w:numId w:val="16"/>
        </w:numPr>
        <w:spacing w:before="240"/>
        <w:ind w:left="1797" w:hanging="357"/>
        <w:contextualSpacing w:val="0"/>
        <w:rPr>
          <w:rFonts w:cstheme="minorHAnsi"/>
        </w:rPr>
      </w:pPr>
      <w:r>
        <w:rPr>
          <w:rFonts w:cstheme="minorHAnsi"/>
        </w:rPr>
        <w:t>Condition 32 dealing with approval of the safe-guarding</w:t>
      </w:r>
    </w:p>
    <w:p w14:paraId="0E43749D" w14:textId="2C07AA84" w:rsidR="00C50540" w:rsidRDefault="00C50540" w:rsidP="00F740C4">
      <w:pPr>
        <w:pStyle w:val="ListParagraph"/>
        <w:numPr>
          <w:ilvl w:val="0"/>
          <w:numId w:val="16"/>
        </w:numPr>
        <w:spacing w:before="240"/>
        <w:ind w:left="1797" w:hanging="357"/>
        <w:contextualSpacing w:val="0"/>
        <w:rPr>
          <w:rFonts w:cstheme="minorHAnsi"/>
        </w:rPr>
      </w:pPr>
      <w:r>
        <w:rPr>
          <w:rFonts w:cstheme="minorHAnsi"/>
        </w:rPr>
        <w:t>Condition 39 dealing with the approval of the Construction Man</w:t>
      </w:r>
      <w:r w:rsidR="008C3A3F">
        <w:rPr>
          <w:rFonts w:cstheme="minorHAnsi"/>
        </w:rPr>
        <w:t>a</w:t>
      </w:r>
      <w:r>
        <w:rPr>
          <w:rFonts w:cstheme="minorHAnsi"/>
        </w:rPr>
        <w:t>gement Plan</w:t>
      </w:r>
      <w:r w:rsidR="008C3A3F">
        <w:rPr>
          <w:rFonts w:cstheme="minorHAnsi"/>
        </w:rPr>
        <w:t xml:space="preserve"> </w:t>
      </w:r>
    </w:p>
    <w:p w14:paraId="07E7E7CC" w14:textId="08B5CC19" w:rsidR="00C50540" w:rsidRDefault="00C50540" w:rsidP="008360F6">
      <w:pPr>
        <w:spacing w:before="240"/>
        <w:ind w:left="720" w:hanging="720"/>
        <w:rPr>
          <w:rFonts w:cstheme="minorHAnsi"/>
        </w:rPr>
      </w:pPr>
      <w:r w:rsidRPr="00C50540">
        <w:rPr>
          <w:rFonts w:cstheme="minorHAnsi"/>
        </w:rPr>
        <w:t>5.14</w:t>
      </w:r>
      <w:r w:rsidRPr="00C50540">
        <w:rPr>
          <w:rFonts w:cstheme="minorHAnsi"/>
        </w:rPr>
        <w:tab/>
      </w:r>
      <w:r w:rsidR="008360F6">
        <w:rPr>
          <w:rFonts w:cstheme="minorHAnsi"/>
        </w:rPr>
        <w:t>Substantial</w:t>
      </w:r>
      <w:r w:rsidR="008014ED">
        <w:rPr>
          <w:rFonts w:cstheme="minorHAnsi"/>
        </w:rPr>
        <w:t xml:space="preserve"> preparation works have been undertaken in order to discharge these conditions, </w:t>
      </w:r>
      <w:r w:rsidR="00C34441">
        <w:rPr>
          <w:rFonts w:cstheme="minorHAnsi"/>
        </w:rPr>
        <w:t xml:space="preserve">although </w:t>
      </w:r>
      <w:r w:rsidR="008014ED">
        <w:rPr>
          <w:rFonts w:cstheme="minorHAnsi"/>
        </w:rPr>
        <w:t xml:space="preserve">at this point in time none have formally been discharged. </w:t>
      </w:r>
      <w:r w:rsidR="004373A8">
        <w:rPr>
          <w:rFonts w:cstheme="minorHAnsi"/>
        </w:rPr>
        <w:t>However,</w:t>
      </w:r>
      <w:r w:rsidR="008014ED">
        <w:rPr>
          <w:rFonts w:cstheme="minorHAnsi"/>
        </w:rPr>
        <w:t xml:space="preserve"> </w:t>
      </w:r>
      <w:r w:rsidR="008014ED" w:rsidRPr="00C50540">
        <w:rPr>
          <w:rFonts w:cstheme="minorHAnsi"/>
        </w:rPr>
        <w:t>there</w:t>
      </w:r>
      <w:r w:rsidRPr="00C50540">
        <w:rPr>
          <w:rFonts w:cstheme="minorHAnsi"/>
        </w:rPr>
        <w:t xml:space="preserve"> is no reason why these pre-commencement conditions will not be satisfied </w:t>
      </w:r>
      <w:r w:rsidR="004373A8">
        <w:rPr>
          <w:rFonts w:cstheme="minorHAnsi"/>
        </w:rPr>
        <w:t xml:space="preserve">at the appropriate time. The Contractor and Project Design Team are aware of what is required in order to satisfy these conditions and discussions have taken place with the Council’s Planning Department regarding a strategy to discharge these conditions to enable the Phase 2 Scheme to commence as soon as practicable. </w:t>
      </w:r>
    </w:p>
    <w:p w14:paraId="3AB0746E" w14:textId="38E22FF7" w:rsidR="00DB276E" w:rsidRDefault="00DB276E" w:rsidP="008360F6">
      <w:pPr>
        <w:spacing w:before="240"/>
        <w:ind w:left="720" w:hanging="720"/>
        <w:rPr>
          <w:rFonts w:cstheme="minorHAnsi"/>
        </w:rPr>
      </w:pPr>
      <w:r>
        <w:rPr>
          <w:rFonts w:cstheme="minorHAnsi"/>
        </w:rPr>
        <w:t>5.15</w:t>
      </w:r>
      <w:r>
        <w:rPr>
          <w:rFonts w:cstheme="minorHAnsi"/>
        </w:rPr>
        <w:tab/>
        <w:t xml:space="preserve">The </w:t>
      </w:r>
      <w:r w:rsidR="008360F6">
        <w:rPr>
          <w:rFonts w:cstheme="minorHAnsi"/>
        </w:rPr>
        <w:t xml:space="preserve">obligations in the </w:t>
      </w:r>
      <w:r>
        <w:rPr>
          <w:rFonts w:cstheme="minorHAnsi"/>
        </w:rPr>
        <w:t>section 106</w:t>
      </w:r>
      <w:r w:rsidR="008360F6">
        <w:rPr>
          <w:rFonts w:cstheme="minorHAnsi"/>
        </w:rPr>
        <w:t xml:space="preserve"> agreement</w:t>
      </w:r>
      <w:r>
        <w:rPr>
          <w:rFonts w:cstheme="minorHAnsi"/>
        </w:rPr>
        <w:t xml:space="preserve"> dated 18 July 2016 </w:t>
      </w:r>
      <w:r w:rsidR="00626D93">
        <w:rPr>
          <w:rFonts w:cstheme="minorHAnsi"/>
        </w:rPr>
        <w:t>(</w:t>
      </w:r>
      <w:r w:rsidRPr="00CE0F79">
        <w:rPr>
          <w:rFonts w:cstheme="minorHAnsi"/>
        </w:rPr>
        <w:t>CD21</w:t>
      </w:r>
      <w:r>
        <w:rPr>
          <w:rFonts w:cstheme="minorHAnsi"/>
        </w:rPr>
        <w:t>)</w:t>
      </w:r>
      <w:r w:rsidR="00FC1921">
        <w:rPr>
          <w:rFonts w:cstheme="minorHAnsi"/>
        </w:rPr>
        <w:t xml:space="preserve"> are</w:t>
      </w:r>
      <w:r>
        <w:rPr>
          <w:rFonts w:cstheme="minorHAnsi"/>
        </w:rPr>
        <w:t xml:space="preserve"> conditional on commencement of development (clause 3.1.2), save for the following provisions which came into effect on completi</w:t>
      </w:r>
      <w:r w:rsidR="004373A8">
        <w:rPr>
          <w:rFonts w:cstheme="minorHAnsi"/>
        </w:rPr>
        <w:t>on of the section 106 agreement:</w:t>
      </w:r>
      <w:r>
        <w:rPr>
          <w:rFonts w:cstheme="minorHAnsi"/>
        </w:rPr>
        <w:t xml:space="preserve"> </w:t>
      </w:r>
    </w:p>
    <w:p w14:paraId="77150B67" w14:textId="5BC3DBF1" w:rsidR="003910A1" w:rsidRDefault="00DB276E" w:rsidP="00F740C4">
      <w:pPr>
        <w:pStyle w:val="ListParagraph"/>
        <w:numPr>
          <w:ilvl w:val="0"/>
          <w:numId w:val="17"/>
        </w:numPr>
        <w:spacing w:before="240"/>
        <w:ind w:left="1797" w:hanging="357"/>
        <w:contextualSpacing w:val="0"/>
        <w:rPr>
          <w:rFonts w:cstheme="minorHAnsi"/>
        </w:rPr>
      </w:pPr>
      <w:r w:rsidRPr="00382A50">
        <w:rPr>
          <w:rFonts w:cstheme="minorHAnsi"/>
        </w:rPr>
        <w:t>clause 4.2 payment of legal fees</w:t>
      </w:r>
    </w:p>
    <w:p w14:paraId="46142022" w14:textId="77777777" w:rsidR="00DB276E" w:rsidRDefault="00DB276E" w:rsidP="00F740C4">
      <w:pPr>
        <w:pStyle w:val="ListParagraph"/>
        <w:numPr>
          <w:ilvl w:val="0"/>
          <w:numId w:val="17"/>
        </w:numPr>
        <w:spacing w:before="240"/>
        <w:ind w:left="1797" w:hanging="357"/>
        <w:contextualSpacing w:val="0"/>
        <w:rPr>
          <w:rFonts w:cstheme="minorHAnsi"/>
        </w:rPr>
      </w:pPr>
      <w:r>
        <w:rPr>
          <w:rFonts w:cstheme="minorHAnsi"/>
        </w:rPr>
        <w:t>clauses 9-14 dealing with dispute resolution and notices</w:t>
      </w:r>
    </w:p>
    <w:p w14:paraId="5D84A15E" w14:textId="77777777" w:rsidR="00DB276E" w:rsidRDefault="00DB276E" w:rsidP="00F740C4">
      <w:pPr>
        <w:pStyle w:val="ListParagraph"/>
        <w:numPr>
          <w:ilvl w:val="0"/>
          <w:numId w:val="17"/>
        </w:numPr>
        <w:spacing w:before="240"/>
        <w:ind w:left="1797" w:hanging="357"/>
        <w:contextualSpacing w:val="0"/>
        <w:rPr>
          <w:rFonts w:cstheme="minorHAnsi"/>
        </w:rPr>
      </w:pPr>
      <w:r>
        <w:rPr>
          <w:rFonts w:cstheme="minorHAnsi"/>
        </w:rPr>
        <w:t>Schedule 3, para 1.1 requiring prior notice of commencement</w:t>
      </w:r>
    </w:p>
    <w:p w14:paraId="052D7A45" w14:textId="77777777" w:rsidR="00DB276E" w:rsidRDefault="00DB276E" w:rsidP="00F740C4">
      <w:pPr>
        <w:pStyle w:val="ListParagraph"/>
        <w:numPr>
          <w:ilvl w:val="0"/>
          <w:numId w:val="17"/>
        </w:numPr>
        <w:spacing w:before="240"/>
        <w:ind w:left="1797" w:hanging="357"/>
        <w:contextualSpacing w:val="0"/>
        <w:rPr>
          <w:rFonts w:cstheme="minorHAnsi"/>
        </w:rPr>
      </w:pPr>
      <w:r>
        <w:rPr>
          <w:rFonts w:cstheme="minorHAnsi"/>
        </w:rPr>
        <w:t>Schedule 3, para 12.5.1 requiring notice to be given of the identity of the Car Club operator.</w:t>
      </w:r>
    </w:p>
    <w:p w14:paraId="03D98293" w14:textId="0B26F722" w:rsidR="00DB276E" w:rsidRDefault="00DB276E" w:rsidP="008360F6">
      <w:pPr>
        <w:spacing w:before="240"/>
        <w:ind w:left="720" w:hanging="720"/>
        <w:rPr>
          <w:rFonts w:cstheme="minorHAnsi"/>
        </w:rPr>
      </w:pPr>
      <w:r w:rsidRPr="00382A50">
        <w:rPr>
          <w:rFonts w:cstheme="minorHAnsi"/>
        </w:rPr>
        <w:t>5.16</w:t>
      </w:r>
      <w:r w:rsidRPr="00382A50">
        <w:rPr>
          <w:rFonts w:cstheme="minorHAnsi"/>
        </w:rPr>
        <w:tab/>
        <w:t xml:space="preserve">There is no reason why these section 106 obligations </w:t>
      </w:r>
      <w:r w:rsidR="008360F6">
        <w:rPr>
          <w:rFonts w:cstheme="minorHAnsi"/>
        </w:rPr>
        <w:t>should not be satisfied as and when they arise</w:t>
      </w:r>
      <w:r w:rsidRPr="000C61A4">
        <w:rPr>
          <w:rFonts w:cstheme="minorHAnsi"/>
        </w:rPr>
        <w:t>.</w:t>
      </w:r>
      <w:r w:rsidRPr="00551BFC">
        <w:rPr>
          <w:rFonts w:cstheme="minorHAnsi"/>
        </w:rPr>
        <w:t xml:space="preserve"> </w:t>
      </w:r>
    </w:p>
    <w:p w14:paraId="46EF2956" w14:textId="244B841D" w:rsidR="00F740C4" w:rsidRDefault="008C3A3F" w:rsidP="008C3A3F">
      <w:pPr>
        <w:ind w:left="720" w:hanging="720"/>
        <w:rPr>
          <w:rFonts w:cstheme="minorHAnsi"/>
          <w:color w:val="000000"/>
        </w:rPr>
      </w:pPr>
      <w:r>
        <w:rPr>
          <w:rFonts w:cstheme="minorHAnsi"/>
          <w:color w:val="000000"/>
        </w:rPr>
        <w:t>5.17</w:t>
      </w:r>
      <w:r>
        <w:rPr>
          <w:rFonts w:cstheme="minorHAnsi"/>
          <w:color w:val="000000"/>
        </w:rPr>
        <w:tab/>
        <w:t>T</w:t>
      </w:r>
      <w:r w:rsidRPr="008707F8">
        <w:rPr>
          <w:rFonts w:cstheme="minorHAnsi"/>
          <w:color w:val="000000"/>
        </w:rPr>
        <w:t xml:space="preserve">here are </w:t>
      </w:r>
      <w:r w:rsidR="008360F6">
        <w:rPr>
          <w:rFonts w:cstheme="minorHAnsi"/>
          <w:color w:val="000000"/>
        </w:rPr>
        <w:t xml:space="preserve">therefore </w:t>
      </w:r>
      <w:r w:rsidRPr="008707F8">
        <w:rPr>
          <w:rFonts w:cstheme="minorHAnsi"/>
          <w:color w:val="000000"/>
        </w:rPr>
        <w:t xml:space="preserve">no planning impediments to the Phase 2 Scheme’s commencement, and </w:t>
      </w:r>
      <w:r>
        <w:rPr>
          <w:rFonts w:cstheme="minorHAnsi"/>
          <w:color w:val="000000"/>
        </w:rPr>
        <w:t>timely d</w:t>
      </w:r>
      <w:r w:rsidRPr="008707F8">
        <w:rPr>
          <w:rFonts w:cstheme="minorHAnsi"/>
          <w:color w:val="000000"/>
        </w:rPr>
        <w:t>elivery.</w:t>
      </w:r>
    </w:p>
    <w:p w14:paraId="00180E54" w14:textId="77777777" w:rsidR="00F740C4" w:rsidRDefault="00F740C4">
      <w:pPr>
        <w:spacing w:before="0" w:after="160"/>
        <w:rPr>
          <w:rFonts w:cstheme="minorHAnsi"/>
          <w:color w:val="000000"/>
        </w:rPr>
      </w:pPr>
      <w:r>
        <w:rPr>
          <w:rFonts w:cstheme="minorHAnsi"/>
          <w:color w:val="000000"/>
        </w:rPr>
        <w:br w:type="page"/>
      </w:r>
    </w:p>
    <w:p w14:paraId="2CC1DD17" w14:textId="77777777" w:rsidR="008C3A3F" w:rsidRDefault="008C3A3F" w:rsidP="008C3A3F">
      <w:pPr>
        <w:ind w:left="720" w:hanging="720"/>
        <w:rPr>
          <w:rFonts w:cstheme="minorHAnsi"/>
          <w:color w:val="000000"/>
        </w:rPr>
      </w:pPr>
    </w:p>
    <w:p w14:paraId="5AF4818E" w14:textId="4A8864E7" w:rsidR="00DB276E" w:rsidRDefault="00DB276E" w:rsidP="00DB276E">
      <w:pPr>
        <w:ind w:left="714" w:hanging="714"/>
        <w:rPr>
          <w:rFonts w:cstheme="minorHAnsi"/>
          <w:color w:val="000000"/>
        </w:rPr>
      </w:pPr>
      <w:r>
        <w:rPr>
          <w:rFonts w:cstheme="minorHAnsi"/>
        </w:rPr>
        <w:t>5.1</w:t>
      </w:r>
      <w:r w:rsidR="008C3A3F">
        <w:rPr>
          <w:rFonts w:cstheme="minorHAnsi"/>
        </w:rPr>
        <w:t>8</w:t>
      </w:r>
      <w:r w:rsidRPr="00DB276E">
        <w:rPr>
          <w:rFonts w:cstheme="minorHAnsi"/>
          <w:b/>
          <w:color w:val="000000"/>
        </w:rPr>
        <w:t xml:space="preserve"> </w:t>
      </w:r>
      <w:r w:rsidR="00852E0A">
        <w:rPr>
          <w:rFonts w:cstheme="minorHAnsi"/>
          <w:b/>
          <w:color w:val="000000"/>
        </w:rPr>
        <w:tab/>
      </w:r>
      <w:r w:rsidRPr="008707F8">
        <w:rPr>
          <w:rFonts w:cstheme="minorHAnsi"/>
          <w:color w:val="000000"/>
        </w:rPr>
        <w:t>The Developer has</w:t>
      </w:r>
      <w:r>
        <w:rPr>
          <w:rFonts w:cstheme="minorHAnsi"/>
          <w:color w:val="000000"/>
        </w:rPr>
        <w:t>,</w:t>
      </w:r>
      <w:r w:rsidRPr="008707F8">
        <w:rPr>
          <w:rFonts w:cstheme="minorHAnsi"/>
          <w:color w:val="000000"/>
        </w:rPr>
        <w:t xml:space="preserve"> to date</w:t>
      </w:r>
      <w:r>
        <w:rPr>
          <w:rFonts w:cstheme="minorHAnsi"/>
          <w:color w:val="000000"/>
        </w:rPr>
        <w:t>,</w:t>
      </w:r>
      <w:r w:rsidRPr="008707F8">
        <w:rPr>
          <w:rFonts w:cstheme="minorHAnsi"/>
          <w:color w:val="000000"/>
        </w:rPr>
        <w:t xml:space="preserve"> undertaken a substantial amount of design work on the </w:t>
      </w:r>
      <w:r>
        <w:rPr>
          <w:rFonts w:cstheme="minorHAnsi"/>
          <w:color w:val="000000"/>
        </w:rPr>
        <w:t>scheme</w:t>
      </w:r>
      <w:r w:rsidRPr="008707F8">
        <w:rPr>
          <w:rFonts w:cstheme="minorHAnsi"/>
          <w:color w:val="000000"/>
        </w:rPr>
        <w:t>, covering</w:t>
      </w:r>
      <w:r>
        <w:rPr>
          <w:rFonts w:cstheme="minorHAnsi"/>
          <w:color w:val="000000"/>
        </w:rPr>
        <w:t>:</w:t>
      </w:r>
    </w:p>
    <w:p w14:paraId="711B1C18" w14:textId="77777777" w:rsidR="00DB276E" w:rsidRPr="00E45152" w:rsidRDefault="00DB276E" w:rsidP="00F740C4">
      <w:pPr>
        <w:pStyle w:val="ListParagraph"/>
        <w:numPr>
          <w:ilvl w:val="0"/>
          <w:numId w:val="11"/>
        </w:numPr>
        <w:ind w:left="1434" w:hanging="357"/>
        <w:contextualSpacing w:val="0"/>
        <w:rPr>
          <w:rFonts w:cstheme="minorHAnsi"/>
          <w:color w:val="000000"/>
        </w:rPr>
      </w:pPr>
      <w:r w:rsidRPr="00E45152">
        <w:rPr>
          <w:rFonts w:cstheme="minorHAnsi"/>
          <w:color w:val="000000"/>
        </w:rPr>
        <w:t xml:space="preserve">the architectural design, </w:t>
      </w:r>
    </w:p>
    <w:p w14:paraId="3811BA0F" w14:textId="77777777" w:rsidR="00DB276E" w:rsidRPr="00E45152" w:rsidRDefault="00DB276E" w:rsidP="00F740C4">
      <w:pPr>
        <w:pStyle w:val="ListParagraph"/>
        <w:numPr>
          <w:ilvl w:val="0"/>
          <w:numId w:val="11"/>
        </w:numPr>
        <w:ind w:left="1434" w:hanging="357"/>
        <w:contextualSpacing w:val="0"/>
        <w:rPr>
          <w:rFonts w:cstheme="minorHAnsi"/>
          <w:color w:val="000000"/>
        </w:rPr>
      </w:pPr>
      <w:r w:rsidRPr="00E45152">
        <w:rPr>
          <w:rFonts w:cstheme="minorHAnsi"/>
          <w:color w:val="000000"/>
        </w:rPr>
        <w:t xml:space="preserve">the structural design, </w:t>
      </w:r>
    </w:p>
    <w:p w14:paraId="1B1B9650" w14:textId="7E465612" w:rsidR="003A3149" w:rsidRDefault="00DB276E" w:rsidP="00F740C4">
      <w:pPr>
        <w:pStyle w:val="ListParagraph"/>
        <w:numPr>
          <w:ilvl w:val="0"/>
          <w:numId w:val="11"/>
        </w:numPr>
        <w:ind w:left="1434" w:hanging="357"/>
        <w:contextualSpacing w:val="0"/>
        <w:rPr>
          <w:rFonts w:cstheme="minorHAnsi"/>
          <w:color w:val="000000"/>
        </w:rPr>
      </w:pPr>
      <w:r w:rsidRPr="00E45152">
        <w:rPr>
          <w:rFonts w:cstheme="minorHAnsi"/>
          <w:color w:val="000000"/>
        </w:rPr>
        <w:t xml:space="preserve">the mechanical and engineering design. </w:t>
      </w:r>
    </w:p>
    <w:p w14:paraId="7CCBB308" w14:textId="04044AE6" w:rsidR="00DB276E" w:rsidRDefault="00DB276E" w:rsidP="00F740C4">
      <w:pPr>
        <w:spacing w:before="0" w:after="160"/>
        <w:rPr>
          <w:rFonts w:cstheme="minorHAnsi"/>
          <w:color w:val="000000"/>
        </w:rPr>
      </w:pPr>
      <w:r>
        <w:rPr>
          <w:rFonts w:cstheme="minorHAnsi"/>
          <w:color w:val="000000"/>
        </w:rPr>
        <w:t>5.1</w:t>
      </w:r>
      <w:r w:rsidR="008C3A3F">
        <w:rPr>
          <w:rFonts w:cstheme="minorHAnsi"/>
          <w:color w:val="000000"/>
        </w:rPr>
        <w:t>9</w:t>
      </w:r>
      <w:r>
        <w:rPr>
          <w:rFonts w:cstheme="minorHAnsi"/>
          <w:color w:val="000000"/>
        </w:rPr>
        <w:tab/>
        <w:t>The Developer</w:t>
      </w:r>
      <w:r w:rsidRPr="008707F8">
        <w:rPr>
          <w:rFonts w:cstheme="minorHAnsi"/>
          <w:color w:val="000000"/>
        </w:rPr>
        <w:t xml:space="preserve"> has also commissioned </w:t>
      </w:r>
      <w:r w:rsidR="008360F6">
        <w:rPr>
          <w:rFonts w:cstheme="minorHAnsi"/>
          <w:color w:val="000000"/>
        </w:rPr>
        <w:t>a number of</w:t>
      </w:r>
      <w:r w:rsidRPr="008707F8">
        <w:rPr>
          <w:rFonts w:cstheme="minorHAnsi"/>
          <w:color w:val="000000"/>
        </w:rPr>
        <w:t xml:space="preserve"> pre-construction surveys including</w:t>
      </w:r>
      <w:r>
        <w:rPr>
          <w:rFonts w:cstheme="minorHAnsi"/>
          <w:color w:val="000000"/>
        </w:rPr>
        <w:t>:</w:t>
      </w:r>
      <w:r w:rsidRPr="008707F8">
        <w:rPr>
          <w:rFonts w:cstheme="minorHAnsi"/>
          <w:color w:val="000000"/>
        </w:rPr>
        <w:t xml:space="preserve"> </w:t>
      </w:r>
    </w:p>
    <w:p w14:paraId="42EDBDF9" w14:textId="3D571436" w:rsidR="00094F9D" w:rsidRDefault="00094F9D" w:rsidP="00F740C4">
      <w:pPr>
        <w:pStyle w:val="ListParagraph"/>
        <w:numPr>
          <w:ilvl w:val="0"/>
          <w:numId w:val="10"/>
        </w:numPr>
        <w:ind w:left="1434" w:hanging="357"/>
        <w:contextualSpacing w:val="0"/>
        <w:rPr>
          <w:rFonts w:cstheme="minorHAnsi"/>
          <w:color w:val="000000"/>
        </w:rPr>
      </w:pPr>
      <w:r>
        <w:rPr>
          <w:rFonts w:cstheme="minorHAnsi"/>
          <w:color w:val="000000"/>
        </w:rPr>
        <w:t>unexploded ordnance</w:t>
      </w:r>
    </w:p>
    <w:p w14:paraId="2D35DA97" w14:textId="42DB9728" w:rsidR="00DB276E" w:rsidRPr="00E45152" w:rsidRDefault="00DB276E" w:rsidP="00F740C4">
      <w:pPr>
        <w:pStyle w:val="ListParagraph"/>
        <w:numPr>
          <w:ilvl w:val="0"/>
          <w:numId w:val="10"/>
        </w:numPr>
        <w:ind w:left="1434" w:hanging="357"/>
        <w:contextualSpacing w:val="0"/>
        <w:rPr>
          <w:rFonts w:cstheme="minorHAnsi"/>
          <w:color w:val="000000"/>
        </w:rPr>
      </w:pPr>
      <w:r w:rsidRPr="00E45152">
        <w:rPr>
          <w:rFonts w:cstheme="minorHAnsi"/>
          <w:color w:val="000000"/>
        </w:rPr>
        <w:t>i</w:t>
      </w:r>
      <w:r w:rsidR="00094F9D">
        <w:rPr>
          <w:rFonts w:cstheme="minorHAnsi"/>
          <w:color w:val="000000"/>
        </w:rPr>
        <w:t>ntrusive ground investigations</w:t>
      </w:r>
    </w:p>
    <w:p w14:paraId="060FAB46" w14:textId="457E4223" w:rsidR="00DB276E" w:rsidRPr="00E45152" w:rsidRDefault="00094F9D" w:rsidP="00F740C4">
      <w:pPr>
        <w:pStyle w:val="ListParagraph"/>
        <w:numPr>
          <w:ilvl w:val="0"/>
          <w:numId w:val="10"/>
        </w:numPr>
        <w:ind w:left="1434" w:hanging="357"/>
        <w:contextualSpacing w:val="0"/>
        <w:rPr>
          <w:rFonts w:cstheme="minorHAnsi"/>
          <w:color w:val="000000"/>
        </w:rPr>
      </w:pPr>
      <w:r>
        <w:rPr>
          <w:rFonts w:cstheme="minorHAnsi"/>
          <w:color w:val="000000"/>
        </w:rPr>
        <w:t>drainage surveys</w:t>
      </w:r>
    </w:p>
    <w:p w14:paraId="222A5CCC" w14:textId="624F69B5" w:rsidR="00DB276E" w:rsidRPr="00E45152" w:rsidRDefault="00094F9D" w:rsidP="00F740C4">
      <w:pPr>
        <w:pStyle w:val="ListParagraph"/>
        <w:numPr>
          <w:ilvl w:val="0"/>
          <w:numId w:val="10"/>
        </w:numPr>
        <w:ind w:left="1434" w:hanging="357"/>
        <w:contextualSpacing w:val="0"/>
        <w:rPr>
          <w:rFonts w:cstheme="minorHAnsi"/>
          <w:color w:val="000000"/>
        </w:rPr>
      </w:pPr>
      <w:r>
        <w:rPr>
          <w:rFonts w:cstheme="minorHAnsi"/>
          <w:color w:val="000000"/>
        </w:rPr>
        <w:t>existing utilities surveys</w:t>
      </w:r>
    </w:p>
    <w:p w14:paraId="4E36B2B5" w14:textId="4CFB76BE" w:rsidR="00DB276E" w:rsidRPr="00E45152" w:rsidRDefault="00DB276E" w:rsidP="00F740C4">
      <w:pPr>
        <w:pStyle w:val="ListParagraph"/>
        <w:numPr>
          <w:ilvl w:val="0"/>
          <w:numId w:val="10"/>
        </w:numPr>
        <w:ind w:left="1434" w:hanging="357"/>
        <w:contextualSpacing w:val="0"/>
        <w:rPr>
          <w:rFonts w:cstheme="minorHAnsi"/>
          <w:color w:val="000000"/>
        </w:rPr>
      </w:pPr>
      <w:r w:rsidRPr="00E45152">
        <w:rPr>
          <w:rFonts w:cstheme="minorHAnsi"/>
          <w:color w:val="000000"/>
        </w:rPr>
        <w:t>updat</w:t>
      </w:r>
      <w:r w:rsidR="00094F9D">
        <w:rPr>
          <w:rFonts w:cstheme="minorHAnsi"/>
          <w:color w:val="000000"/>
        </w:rPr>
        <w:t xml:space="preserve">es to the </w:t>
      </w:r>
      <w:proofErr w:type="spellStart"/>
      <w:r w:rsidR="00094F9D">
        <w:rPr>
          <w:rFonts w:cstheme="minorHAnsi"/>
          <w:color w:val="000000"/>
        </w:rPr>
        <w:t>arboricultural</w:t>
      </w:r>
      <w:proofErr w:type="spellEnd"/>
      <w:r w:rsidR="00094F9D">
        <w:rPr>
          <w:rFonts w:cstheme="minorHAnsi"/>
          <w:color w:val="000000"/>
        </w:rPr>
        <w:t xml:space="preserve"> report</w:t>
      </w:r>
    </w:p>
    <w:p w14:paraId="2372B73A" w14:textId="77777777" w:rsidR="00DB276E" w:rsidRPr="00E45152" w:rsidRDefault="00DB276E" w:rsidP="00F740C4">
      <w:pPr>
        <w:pStyle w:val="ListParagraph"/>
        <w:numPr>
          <w:ilvl w:val="0"/>
          <w:numId w:val="10"/>
        </w:numPr>
        <w:ind w:left="1434" w:hanging="357"/>
        <w:contextualSpacing w:val="0"/>
        <w:rPr>
          <w:rFonts w:cstheme="minorHAnsi"/>
          <w:color w:val="000000"/>
        </w:rPr>
      </w:pPr>
      <w:r w:rsidRPr="00E45152">
        <w:rPr>
          <w:rFonts w:cstheme="minorHAnsi"/>
          <w:color w:val="000000"/>
        </w:rPr>
        <w:t xml:space="preserve">reviews of fire strategy. </w:t>
      </w:r>
    </w:p>
    <w:p w14:paraId="02EBEE03" w14:textId="75EA7B87" w:rsidR="00DB276E" w:rsidRPr="008707F8" w:rsidRDefault="00EB2B3D" w:rsidP="00DB276E">
      <w:pPr>
        <w:ind w:left="720" w:hanging="720"/>
        <w:rPr>
          <w:rFonts w:cstheme="minorHAnsi"/>
          <w:color w:val="000000"/>
        </w:rPr>
      </w:pPr>
      <w:r>
        <w:rPr>
          <w:rFonts w:cstheme="minorHAnsi"/>
          <w:color w:val="000000"/>
        </w:rPr>
        <w:t>5.</w:t>
      </w:r>
      <w:r w:rsidR="008C3A3F">
        <w:rPr>
          <w:rFonts w:cstheme="minorHAnsi"/>
          <w:color w:val="000000"/>
        </w:rPr>
        <w:t>20</w:t>
      </w:r>
      <w:r w:rsidR="00DB276E">
        <w:rPr>
          <w:rFonts w:cstheme="minorHAnsi"/>
          <w:color w:val="000000"/>
        </w:rPr>
        <w:tab/>
      </w:r>
      <w:r w:rsidR="00DB276E" w:rsidRPr="008707F8">
        <w:rPr>
          <w:rFonts w:cstheme="minorHAnsi"/>
          <w:color w:val="000000"/>
        </w:rPr>
        <w:t xml:space="preserve">Site surveys for diversionary works have been undertaken and negotiations with statutory providers are ongoing. </w:t>
      </w:r>
    </w:p>
    <w:p w14:paraId="3577861E" w14:textId="0783ECCA" w:rsidR="00B358D0" w:rsidRDefault="00B358D0">
      <w:pPr>
        <w:spacing w:before="0" w:after="160"/>
        <w:rPr>
          <w:rFonts w:cstheme="minorHAnsi"/>
        </w:rPr>
      </w:pPr>
      <w:r>
        <w:rPr>
          <w:rFonts w:cstheme="minorHAnsi"/>
        </w:rPr>
        <w:br w:type="page"/>
      </w:r>
    </w:p>
    <w:p w14:paraId="20E07923" w14:textId="77777777" w:rsidR="00353A52" w:rsidRDefault="00353A52" w:rsidP="00353A52">
      <w:pPr>
        <w:pStyle w:val="Heading1"/>
      </w:pPr>
      <w:bookmarkStart w:id="7" w:name="_Toc516156324"/>
      <w:r>
        <w:lastRenderedPageBreak/>
        <w:t>6. The Developer’s Commitment to Delivery</w:t>
      </w:r>
      <w:bookmarkEnd w:id="7"/>
    </w:p>
    <w:p w14:paraId="5E94016A" w14:textId="77777777" w:rsidR="00E45152" w:rsidRDefault="00454374" w:rsidP="00E45152">
      <w:pPr>
        <w:ind w:left="720" w:hanging="720"/>
      </w:pPr>
      <w:r>
        <w:t>6.1</w:t>
      </w:r>
      <w:r>
        <w:tab/>
        <w:t>The Developer is committed to delivering the scheme. I set out below a number of areas of work required to deliver the scheme and demonstrate how the Developer is ensuring delivery.</w:t>
      </w:r>
    </w:p>
    <w:p w14:paraId="6F072735" w14:textId="77777777" w:rsidR="00454374" w:rsidRPr="00E45152" w:rsidRDefault="00454374" w:rsidP="00E45152">
      <w:pPr>
        <w:ind w:left="720" w:hanging="720"/>
      </w:pPr>
      <w:r w:rsidRPr="00454374">
        <w:rPr>
          <w:rFonts w:cstheme="minorHAnsi"/>
          <w:b/>
          <w:szCs w:val="20"/>
        </w:rPr>
        <w:t>FINANCIAL COMMITTMENT</w:t>
      </w:r>
    </w:p>
    <w:p w14:paraId="00780515" w14:textId="3ED53C4B" w:rsidR="00353A52" w:rsidRPr="00454374" w:rsidRDefault="00454374" w:rsidP="00454374">
      <w:pPr>
        <w:ind w:left="720" w:hanging="720"/>
        <w:rPr>
          <w:rFonts w:cstheme="minorHAnsi"/>
          <w:sz w:val="28"/>
          <w:szCs w:val="24"/>
        </w:rPr>
      </w:pPr>
      <w:r w:rsidRPr="00454374">
        <w:rPr>
          <w:rFonts w:cstheme="minorHAnsi"/>
          <w:szCs w:val="20"/>
        </w:rPr>
        <w:t>6.</w:t>
      </w:r>
      <w:r w:rsidR="00004781">
        <w:rPr>
          <w:rFonts w:cstheme="minorHAnsi"/>
          <w:szCs w:val="20"/>
        </w:rPr>
        <w:t>2</w:t>
      </w:r>
      <w:r w:rsidRPr="00454374">
        <w:rPr>
          <w:rFonts w:cstheme="minorHAnsi"/>
          <w:szCs w:val="20"/>
        </w:rPr>
        <w:tab/>
      </w:r>
      <w:r w:rsidR="00353A52" w:rsidRPr="00454374">
        <w:rPr>
          <w:rFonts w:cstheme="minorHAnsi"/>
          <w:szCs w:val="20"/>
        </w:rPr>
        <w:t>Under the Development Agreement the Developer is responsible for funding the</w:t>
      </w:r>
      <w:r w:rsidRPr="00454374">
        <w:rPr>
          <w:rFonts w:cstheme="minorHAnsi"/>
          <w:szCs w:val="20"/>
        </w:rPr>
        <w:t xml:space="preserve"> </w:t>
      </w:r>
      <w:r w:rsidR="00353A52" w:rsidRPr="00454374">
        <w:rPr>
          <w:rFonts w:cstheme="minorHAnsi"/>
          <w:szCs w:val="20"/>
        </w:rPr>
        <w:t xml:space="preserve">development. </w:t>
      </w:r>
      <w:r w:rsidR="00EB2B3D">
        <w:rPr>
          <w:rFonts w:cstheme="minorHAnsi"/>
          <w:szCs w:val="20"/>
        </w:rPr>
        <w:t>On behalf of the Developer I can confirm that</w:t>
      </w:r>
      <w:r w:rsidR="00BD6D32">
        <w:rPr>
          <w:rFonts w:cstheme="minorHAnsi"/>
          <w:szCs w:val="20"/>
        </w:rPr>
        <w:t xml:space="preserve"> funding arrangements are in place to fund the delivery of the Phase 2 Scheme and</w:t>
      </w:r>
      <w:r w:rsidR="00353A52" w:rsidRPr="00454374">
        <w:rPr>
          <w:rFonts w:cstheme="minorHAnsi"/>
          <w:szCs w:val="20"/>
        </w:rPr>
        <w:t xml:space="preserve"> that the Developer remains </w:t>
      </w:r>
      <w:r w:rsidR="00EB2B3D">
        <w:rPr>
          <w:rFonts w:cstheme="minorHAnsi"/>
          <w:szCs w:val="20"/>
        </w:rPr>
        <w:t xml:space="preserve">fully </w:t>
      </w:r>
      <w:r w:rsidR="00353A52" w:rsidRPr="00454374">
        <w:rPr>
          <w:rFonts w:cstheme="minorHAnsi"/>
          <w:szCs w:val="20"/>
        </w:rPr>
        <w:t>committed to doing so</w:t>
      </w:r>
      <w:r w:rsidR="00D97C31">
        <w:rPr>
          <w:rFonts w:cstheme="minorHAnsi"/>
          <w:szCs w:val="20"/>
        </w:rPr>
        <w:t>.</w:t>
      </w:r>
      <w:r w:rsidR="00353A52" w:rsidRPr="00454374">
        <w:rPr>
          <w:rFonts w:cstheme="minorHAnsi"/>
          <w:szCs w:val="20"/>
        </w:rPr>
        <w:t xml:space="preserve"> </w:t>
      </w:r>
    </w:p>
    <w:p w14:paraId="1767AE9A" w14:textId="01B38B73" w:rsidR="00353A52" w:rsidRDefault="00454374" w:rsidP="00454374">
      <w:pPr>
        <w:ind w:left="720" w:hanging="720"/>
        <w:rPr>
          <w:rFonts w:cstheme="minorHAnsi"/>
          <w:szCs w:val="20"/>
        </w:rPr>
      </w:pPr>
      <w:r w:rsidRPr="00454374">
        <w:rPr>
          <w:rFonts w:cstheme="minorHAnsi"/>
          <w:szCs w:val="20"/>
        </w:rPr>
        <w:t>6.</w:t>
      </w:r>
      <w:r w:rsidR="00004781">
        <w:rPr>
          <w:rFonts w:cstheme="minorHAnsi"/>
          <w:szCs w:val="20"/>
        </w:rPr>
        <w:t>3</w:t>
      </w:r>
      <w:r w:rsidRPr="00454374">
        <w:rPr>
          <w:rFonts w:cstheme="minorHAnsi"/>
          <w:szCs w:val="20"/>
        </w:rPr>
        <w:tab/>
        <w:t>T</w:t>
      </w:r>
      <w:r w:rsidR="00353A52" w:rsidRPr="00454374">
        <w:rPr>
          <w:rFonts w:cstheme="minorHAnsi"/>
          <w:szCs w:val="20"/>
        </w:rPr>
        <w:t xml:space="preserve">he Developer has already invested £5.2 million in the </w:t>
      </w:r>
      <w:r w:rsidRPr="00454374">
        <w:rPr>
          <w:rFonts w:cstheme="minorHAnsi"/>
          <w:szCs w:val="20"/>
        </w:rPr>
        <w:t>s</w:t>
      </w:r>
      <w:r w:rsidR="00353A52" w:rsidRPr="00454374">
        <w:rPr>
          <w:rFonts w:cstheme="minorHAnsi"/>
          <w:szCs w:val="20"/>
        </w:rPr>
        <w:t>cheme</w:t>
      </w:r>
      <w:r w:rsidR="00EB2B3D">
        <w:rPr>
          <w:rFonts w:cstheme="minorHAnsi"/>
          <w:szCs w:val="20"/>
        </w:rPr>
        <w:t xml:space="preserve"> which has been spent on </w:t>
      </w:r>
      <w:r w:rsidR="00446157">
        <w:rPr>
          <w:rFonts w:cstheme="minorHAnsi"/>
          <w:szCs w:val="20"/>
        </w:rPr>
        <w:t>an initial land deposit</w:t>
      </w:r>
      <w:r w:rsidR="00B109E1">
        <w:rPr>
          <w:rFonts w:cstheme="minorHAnsi"/>
          <w:szCs w:val="20"/>
        </w:rPr>
        <w:t xml:space="preserve"> payment</w:t>
      </w:r>
      <w:r w:rsidR="00446157">
        <w:rPr>
          <w:rFonts w:cstheme="minorHAnsi"/>
          <w:szCs w:val="20"/>
        </w:rPr>
        <w:t xml:space="preserve"> to the Council</w:t>
      </w:r>
      <w:r w:rsidR="008014ED">
        <w:rPr>
          <w:rFonts w:cstheme="minorHAnsi"/>
          <w:szCs w:val="20"/>
        </w:rPr>
        <w:t xml:space="preserve">; CPO fees; design work undertaken by the Contractor; purchasing the 5 Beech Court leasehold properties; </w:t>
      </w:r>
      <w:r w:rsidR="00420A94">
        <w:rPr>
          <w:rFonts w:cstheme="minorHAnsi"/>
          <w:szCs w:val="20"/>
        </w:rPr>
        <w:t xml:space="preserve">and </w:t>
      </w:r>
      <w:r w:rsidR="008014ED">
        <w:rPr>
          <w:rFonts w:cstheme="minorHAnsi"/>
          <w:szCs w:val="20"/>
        </w:rPr>
        <w:t>planning and other professional fees</w:t>
      </w:r>
      <w:r w:rsidR="00353A52" w:rsidRPr="00454374">
        <w:rPr>
          <w:rFonts w:cstheme="minorHAnsi"/>
          <w:szCs w:val="20"/>
        </w:rPr>
        <w:t xml:space="preserve">.  </w:t>
      </w:r>
    </w:p>
    <w:p w14:paraId="5FF96D94" w14:textId="7DED8519" w:rsidR="004F1C8B" w:rsidRPr="00454374" w:rsidRDefault="004F1C8B" w:rsidP="00454374">
      <w:pPr>
        <w:ind w:left="720" w:hanging="720"/>
        <w:rPr>
          <w:rFonts w:cstheme="minorHAnsi"/>
          <w:sz w:val="28"/>
          <w:szCs w:val="24"/>
        </w:rPr>
      </w:pPr>
      <w:r>
        <w:rPr>
          <w:rFonts w:cstheme="minorHAnsi"/>
          <w:szCs w:val="20"/>
        </w:rPr>
        <w:t>6.4</w:t>
      </w:r>
      <w:r>
        <w:rPr>
          <w:rFonts w:cstheme="minorHAnsi"/>
          <w:szCs w:val="20"/>
        </w:rPr>
        <w:tab/>
        <w:t xml:space="preserve">The Developer instructed </w:t>
      </w:r>
      <w:proofErr w:type="spellStart"/>
      <w:r>
        <w:rPr>
          <w:rFonts w:cstheme="minorHAnsi"/>
          <w:szCs w:val="20"/>
        </w:rPr>
        <w:t>Terraquest</w:t>
      </w:r>
      <w:proofErr w:type="spellEnd"/>
      <w:r>
        <w:rPr>
          <w:rFonts w:cstheme="minorHAnsi"/>
          <w:szCs w:val="20"/>
        </w:rPr>
        <w:t>, a land referencing company, to prepare a schedule of all the interests in the Order Land in March 2017.</w:t>
      </w:r>
    </w:p>
    <w:p w14:paraId="7FA217B8" w14:textId="28453CFF" w:rsidR="00353A52" w:rsidRPr="00454374" w:rsidRDefault="00454374" w:rsidP="00454374">
      <w:pPr>
        <w:ind w:left="720" w:hanging="720"/>
        <w:rPr>
          <w:rFonts w:cstheme="minorHAnsi"/>
          <w:sz w:val="24"/>
        </w:rPr>
      </w:pPr>
      <w:r w:rsidRPr="00454374">
        <w:rPr>
          <w:rFonts w:cstheme="minorHAnsi"/>
          <w:szCs w:val="20"/>
        </w:rPr>
        <w:t>6.</w:t>
      </w:r>
      <w:r w:rsidR="004F1C8B">
        <w:rPr>
          <w:rFonts w:cstheme="minorHAnsi"/>
          <w:szCs w:val="20"/>
        </w:rPr>
        <w:t>5</w:t>
      </w:r>
      <w:r w:rsidRPr="00454374">
        <w:rPr>
          <w:rFonts w:cstheme="minorHAnsi"/>
          <w:szCs w:val="20"/>
        </w:rPr>
        <w:tab/>
      </w:r>
      <w:r w:rsidR="00353A52" w:rsidRPr="00454374">
        <w:rPr>
          <w:rFonts w:cstheme="minorHAnsi"/>
          <w:szCs w:val="20"/>
        </w:rPr>
        <w:t>The Developer has confirmed that it has recently reviewed its projected returns</w:t>
      </w:r>
      <w:r w:rsidR="00EB2B3D">
        <w:rPr>
          <w:rFonts w:cstheme="minorHAnsi"/>
          <w:szCs w:val="20"/>
        </w:rPr>
        <w:t xml:space="preserve"> </w:t>
      </w:r>
      <w:r w:rsidR="00353A52" w:rsidRPr="00454374">
        <w:rPr>
          <w:rFonts w:cstheme="minorHAnsi"/>
          <w:szCs w:val="20"/>
        </w:rPr>
        <w:t>from</w:t>
      </w:r>
      <w:r w:rsidRPr="00454374">
        <w:rPr>
          <w:rFonts w:cstheme="minorHAnsi"/>
          <w:szCs w:val="20"/>
        </w:rPr>
        <w:t xml:space="preserve"> </w:t>
      </w:r>
      <w:r w:rsidR="00353A52" w:rsidRPr="00454374">
        <w:rPr>
          <w:rFonts w:cstheme="minorHAnsi"/>
          <w:szCs w:val="20"/>
        </w:rPr>
        <w:t xml:space="preserve">the </w:t>
      </w:r>
      <w:r w:rsidR="00EB2B3D">
        <w:rPr>
          <w:rFonts w:cstheme="minorHAnsi"/>
          <w:szCs w:val="20"/>
        </w:rPr>
        <w:t>Phase 2 S</w:t>
      </w:r>
      <w:r w:rsidR="00353A52" w:rsidRPr="00454374">
        <w:rPr>
          <w:rFonts w:cstheme="minorHAnsi"/>
          <w:szCs w:val="20"/>
        </w:rPr>
        <w:t>cheme and that it remains viable.</w:t>
      </w:r>
    </w:p>
    <w:p w14:paraId="0874E805" w14:textId="53AB2355" w:rsidR="00720B42" w:rsidRDefault="00720B42" w:rsidP="00803863">
      <w:pPr>
        <w:rPr>
          <w:b/>
        </w:rPr>
      </w:pPr>
      <w:r w:rsidRPr="00720B42">
        <w:rPr>
          <w:b/>
        </w:rPr>
        <w:t>SITE ASSEMBLY</w:t>
      </w:r>
    </w:p>
    <w:p w14:paraId="3E15867F" w14:textId="00A08402" w:rsidR="00EF22DC" w:rsidRDefault="007D3BCA" w:rsidP="007D3BCA">
      <w:pPr>
        <w:ind w:left="720" w:hanging="720"/>
      </w:pPr>
      <w:r>
        <w:t>6.</w:t>
      </w:r>
      <w:r w:rsidR="004F1C8B">
        <w:t>6</w:t>
      </w:r>
      <w:r>
        <w:tab/>
        <w:t xml:space="preserve">The Council </w:t>
      </w:r>
      <w:r w:rsidR="00EF22DC">
        <w:t xml:space="preserve">has been responsible for attempting to acquire the </w:t>
      </w:r>
      <w:r w:rsidR="00420A94">
        <w:t>P</w:t>
      </w:r>
      <w:r w:rsidR="00EF22DC">
        <w:t>ramsheds required to facilitate the development</w:t>
      </w:r>
      <w:r w:rsidR="00420A94">
        <w:t>,</w:t>
      </w:r>
      <w:r w:rsidR="00EF22DC">
        <w:t xml:space="preserve"> and delegated responsibility of acquiring the long leasehold interests within Beech Court to the Developer.</w:t>
      </w:r>
    </w:p>
    <w:p w14:paraId="07F5AE8F" w14:textId="55115E06" w:rsidR="00FF7B1B" w:rsidRDefault="00720B42" w:rsidP="00110821">
      <w:pPr>
        <w:ind w:left="720" w:hanging="720"/>
      </w:pPr>
      <w:r>
        <w:t>6.</w:t>
      </w:r>
      <w:r w:rsidR="004F1C8B">
        <w:t>7</w:t>
      </w:r>
      <w:r>
        <w:tab/>
      </w:r>
      <w:r w:rsidR="00127429">
        <w:t>New Granville LLP</w:t>
      </w:r>
      <w:r w:rsidR="008014ED">
        <w:t xml:space="preserve"> have</w:t>
      </w:r>
      <w:r w:rsidR="00110821">
        <w:t xml:space="preserve"> </w:t>
      </w:r>
      <w:r w:rsidR="00EB2B3D">
        <w:t xml:space="preserve">worked to </w:t>
      </w:r>
      <w:r w:rsidR="00110821">
        <w:t xml:space="preserve">assemble </w:t>
      </w:r>
      <w:r w:rsidR="007D3BCA">
        <w:t xml:space="preserve">the Beech Court interests </w:t>
      </w:r>
      <w:r w:rsidR="00EF22DC">
        <w:t>via off-market transactions and direct negotiation with the individual leaseholders and as a result t</w:t>
      </w:r>
      <w:r w:rsidR="00110821">
        <w:t>he Developer has acquired by agreement the 5 leasehold interests within Beech Court</w:t>
      </w:r>
      <w:r w:rsidR="00EB2B3D">
        <w:t xml:space="preserve"> being numbers</w:t>
      </w:r>
      <w:r w:rsidR="00004781">
        <w:t xml:space="preserve"> </w:t>
      </w:r>
      <w:r w:rsidR="00127429">
        <w:t>7, 9 12, 16 and 20</w:t>
      </w:r>
      <w:r w:rsidR="00110821">
        <w:t xml:space="preserve">. </w:t>
      </w:r>
      <w:r w:rsidR="00EF22DC">
        <w:t>Four</w:t>
      </w:r>
      <w:r w:rsidR="00110821">
        <w:t xml:space="preserve"> of these were let privately by the </w:t>
      </w:r>
      <w:proofErr w:type="gramStart"/>
      <w:r w:rsidR="00110821">
        <w:t>Developer,</w:t>
      </w:r>
      <w:proofErr w:type="gramEnd"/>
      <w:r w:rsidR="00110821">
        <w:t xml:space="preserve"> however these tenanc</w:t>
      </w:r>
      <w:r w:rsidR="00004781">
        <w:t>ies</w:t>
      </w:r>
      <w:r w:rsidR="00110821">
        <w:t xml:space="preserve"> have recently been terminated in order to </w:t>
      </w:r>
      <w:r w:rsidR="00004781">
        <w:t>secure</w:t>
      </w:r>
      <w:r w:rsidR="00110821">
        <w:t xml:space="preserve"> vacant possession ahead of anticipated construction works. </w:t>
      </w:r>
    </w:p>
    <w:p w14:paraId="055C8090" w14:textId="01227E9F" w:rsidR="00EB2B3D" w:rsidRDefault="00EB2B3D" w:rsidP="00110821">
      <w:pPr>
        <w:ind w:left="720" w:hanging="720"/>
      </w:pPr>
      <w:r>
        <w:t>6.</w:t>
      </w:r>
      <w:r w:rsidR="004F1C8B">
        <w:t>8</w:t>
      </w:r>
      <w:r>
        <w:tab/>
      </w:r>
      <w:r w:rsidR="00127429">
        <w:t>All of these units acquired by the LLP are currently vacant and secured, in preparation for works to commence on site.</w:t>
      </w:r>
    </w:p>
    <w:p w14:paraId="68D97CD0" w14:textId="77777777" w:rsidR="00F740C4" w:rsidRDefault="00F740C4">
      <w:pPr>
        <w:spacing w:before="0" w:after="160"/>
        <w:rPr>
          <w:rFonts w:cstheme="minorHAnsi"/>
          <w:b/>
          <w:color w:val="000000"/>
        </w:rPr>
      </w:pPr>
      <w:r>
        <w:rPr>
          <w:rFonts w:cstheme="minorHAnsi"/>
          <w:b/>
          <w:color w:val="000000"/>
        </w:rPr>
        <w:br w:type="page"/>
      </w:r>
    </w:p>
    <w:p w14:paraId="7176290F" w14:textId="312162D6" w:rsidR="0041716D" w:rsidRPr="0041716D" w:rsidRDefault="0041716D" w:rsidP="0041716D">
      <w:pPr>
        <w:rPr>
          <w:rFonts w:cstheme="minorHAnsi"/>
          <w:b/>
          <w:color w:val="000000"/>
        </w:rPr>
      </w:pPr>
      <w:r w:rsidRPr="0041716D">
        <w:rPr>
          <w:rFonts w:cstheme="minorHAnsi"/>
          <w:b/>
          <w:color w:val="000000"/>
        </w:rPr>
        <w:lastRenderedPageBreak/>
        <w:t>SALES AND MARKETING</w:t>
      </w:r>
    </w:p>
    <w:p w14:paraId="5D121B6F" w14:textId="54062074" w:rsidR="0041716D" w:rsidRDefault="0041716D" w:rsidP="0041716D">
      <w:pPr>
        <w:ind w:left="720" w:hanging="720"/>
      </w:pPr>
      <w:r>
        <w:t>6.</w:t>
      </w:r>
      <w:r w:rsidR="004F1C8B">
        <w:t>9</w:t>
      </w:r>
      <w:r>
        <w:tab/>
      </w:r>
      <w:r w:rsidR="005C019B">
        <w:t>The Developer has</w:t>
      </w:r>
      <w:r>
        <w:t xml:space="preserve"> undertaken a wide range of activities relating to the sales and marketing of the </w:t>
      </w:r>
      <w:r w:rsidR="00EB2B3D">
        <w:t>private housing that will be delivered as part of the Phase 2 Scheme</w:t>
      </w:r>
      <w:r>
        <w:t>, including:</w:t>
      </w:r>
    </w:p>
    <w:p w14:paraId="1AB35C40" w14:textId="77777777" w:rsidR="0041716D" w:rsidRPr="005C019B" w:rsidRDefault="0041716D" w:rsidP="005C019B">
      <w:pPr>
        <w:pStyle w:val="ListParagraph"/>
        <w:numPr>
          <w:ilvl w:val="0"/>
          <w:numId w:val="15"/>
        </w:numPr>
        <w:ind w:left="1434" w:hanging="357"/>
        <w:contextualSpacing w:val="0"/>
      </w:pPr>
      <w:r w:rsidRPr="005C019B">
        <w:t xml:space="preserve">Holding pitches for the branding of hoarding, brochures, microsite and media advertising </w:t>
      </w:r>
    </w:p>
    <w:p w14:paraId="6DE6BE71" w14:textId="77777777" w:rsidR="0041716D" w:rsidRPr="005C019B" w:rsidRDefault="0041716D" w:rsidP="005C019B">
      <w:pPr>
        <w:pStyle w:val="ListParagraph"/>
        <w:numPr>
          <w:ilvl w:val="0"/>
          <w:numId w:val="15"/>
        </w:numPr>
        <w:ind w:left="1434" w:hanging="357"/>
        <w:contextualSpacing w:val="0"/>
      </w:pPr>
      <w:r w:rsidRPr="005C019B">
        <w:t>Terms and conditions have been agreed with sales agents for their appointment</w:t>
      </w:r>
    </w:p>
    <w:p w14:paraId="4824E1EC" w14:textId="5A0436C9" w:rsidR="0041716D" w:rsidRPr="005C019B" w:rsidRDefault="0041716D" w:rsidP="005C019B">
      <w:pPr>
        <w:pStyle w:val="ListParagraph"/>
        <w:numPr>
          <w:ilvl w:val="0"/>
          <w:numId w:val="15"/>
        </w:numPr>
        <w:ind w:left="1434" w:hanging="357"/>
        <w:contextualSpacing w:val="0"/>
      </w:pPr>
      <w:r w:rsidRPr="005C019B">
        <w:t xml:space="preserve">The LLP’s </w:t>
      </w:r>
      <w:r w:rsidR="00EB2B3D">
        <w:t>p</w:t>
      </w:r>
      <w:r w:rsidRPr="005C019B">
        <w:t xml:space="preserve">lot sales solicitor has been appointed </w:t>
      </w:r>
    </w:p>
    <w:p w14:paraId="49FBF1BA" w14:textId="77777777" w:rsidR="0041716D" w:rsidRPr="005C019B" w:rsidRDefault="0041716D" w:rsidP="005C019B">
      <w:pPr>
        <w:pStyle w:val="ListParagraph"/>
        <w:numPr>
          <w:ilvl w:val="0"/>
          <w:numId w:val="15"/>
        </w:numPr>
        <w:ind w:left="1434" w:hanging="357"/>
        <w:contextualSpacing w:val="0"/>
      </w:pPr>
      <w:r w:rsidRPr="005C019B">
        <w:t xml:space="preserve">The LLP’s recommended mortgage broker has been appointed </w:t>
      </w:r>
    </w:p>
    <w:p w14:paraId="617541FD" w14:textId="77777777" w:rsidR="0041716D" w:rsidRPr="005C019B" w:rsidRDefault="0041716D" w:rsidP="005C019B">
      <w:pPr>
        <w:pStyle w:val="ListParagraph"/>
        <w:numPr>
          <w:ilvl w:val="0"/>
          <w:numId w:val="15"/>
        </w:numPr>
        <w:ind w:left="1434" w:hanging="357"/>
        <w:contextualSpacing w:val="0"/>
      </w:pPr>
      <w:r w:rsidRPr="005C019B">
        <w:t xml:space="preserve">Sales and marketing reports have been undertaken in order to identify the target market, </w:t>
      </w:r>
      <w:proofErr w:type="gramStart"/>
      <w:r w:rsidRPr="005C019B">
        <w:t>advise</w:t>
      </w:r>
      <w:proofErr w:type="gramEnd"/>
      <w:r w:rsidRPr="005C019B">
        <w:t xml:space="preserve"> on sales prices and required specifications. </w:t>
      </w:r>
    </w:p>
    <w:p w14:paraId="6A716372" w14:textId="50AAD8F6" w:rsidR="004B61EA" w:rsidRDefault="004B61EA" w:rsidP="004B61EA">
      <w:pPr>
        <w:ind w:left="720" w:hanging="720"/>
      </w:pPr>
      <w:r>
        <w:t>6.</w:t>
      </w:r>
      <w:r w:rsidR="004F1C8B">
        <w:t>10</w:t>
      </w:r>
      <w:r>
        <w:tab/>
      </w:r>
      <w:r w:rsidRPr="004B61EA">
        <w:t>The Developer has calculated the likely project costs together with an appropriate contingency and these costs have been included in the business plans of the Developer’s constituent companies to ensure that there is sufficient finance available to deliver the Scheme.</w:t>
      </w:r>
    </w:p>
    <w:p w14:paraId="0E6E27B1" w14:textId="3205A841" w:rsidR="00372178" w:rsidRDefault="00372178" w:rsidP="00372178">
      <w:pPr>
        <w:ind w:left="720" w:hanging="720"/>
      </w:pPr>
      <w:r>
        <w:t>6.</w:t>
      </w:r>
      <w:r w:rsidR="00EF22DC">
        <w:t>1</w:t>
      </w:r>
      <w:r w:rsidR="004F1C8B">
        <w:t>1</w:t>
      </w:r>
      <w:r>
        <w:tab/>
      </w:r>
      <w:r w:rsidR="004F1C8B">
        <w:t>T</w:t>
      </w:r>
      <w:r>
        <w:rPr>
          <w:spacing w:val="1"/>
        </w:rPr>
        <w:t>h</w:t>
      </w:r>
      <w:r>
        <w:t>ere</w:t>
      </w:r>
      <w:r>
        <w:rPr>
          <w:spacing w:val="-5"/>
        </w:rPr>
        <w:t xml:space="preserve"> </w:t>
      </w:r>
      <w:r>
        <w:rPr>
          <w:spacing w:val="1"/>
        </w:rPr>
        <w:t>i</w:t>
      </w:r>
      <w:r>
        <w:t>s</w:t>
      </w:r>
      <w:r>
        <w:rPr>
          <w:spacing w:val="-2"/>
        </w:rPr>
        <w:t xml:space="preserve"> </w:t>
      </w:r>
      <w:r>
        <w:t>a</w:t>
      </w:r>
      <w:r>
        <w:rPr>
          <w:spacing w:val="2"/>
        </w:rPr>
        <w:t xml:space="preserve"> </w:t>
      </w:r>
      <w:r>
        <w:t>very</w:t>
      </w:r>
      <w:r>
        <w:rPr>
          <w:spacing w:val="-3"/>
        </w:rPr>
        <w:t xml:space="preserve"> </w:t>
      </w:r>
      <w:r>
        <w:rPr>
          <w:spacing w:val="-1"/>
        </w:rPr>
        <w:t>s</w:t>
      </w:r>
      <w:r>
        <w:rPr>
          <w:spacing w:val="1"/>
        </w:rPr>
        <w:t>i</w:t>
      </w:r>
      <w:r>
        <w:t>g</w:t>
      </w:r>
      <w:r>
        <w:rPr>
          <w:spacing w:val="1"/>
        </w:rPr>
        <w:t>ni</w:t>
      </w:r>
      <w:r>
        <w:t>f</w:t>
      </w:r>
      <w:r>
        <w:rPr>
          <w:spacing w:val="1"/>
        </w:rPr>
        <w:t>ican</w:t>
      </w:r>
      <w:r>
        <w:t>t</w:t>
      </w:r>
      <w:r>
        <w:rPr>
          <w:spacing w:val="-8"/>
        </w:rPr>
        <w:t xml:space="preserve"> </w:t>
      </w:r>
      <w:r>
        <w:rPr>
          <w:spacing w:val="1"/>
        </w:rPr>
        <w:t>c</w:t>
      </w:r>
      <w:r>
        <w:rPr>
          <w:spacing w:val="-1"/>
        </w:rPr>
        <w:t>o</w:t>
      </w:r>
      <w:r>
        <w:t>mmer</w:t>
      </w:r>
      <w:r>
        <w:rPr>
          <w:spacing w:val="1"/>
        </w:rPr>
        <w:t>cia</w:t>
      </w:r>
      <w:r>
        <w:t>l</w:t>
      </w:r>
      <w:r>
        <w:rPr>
          <w:spacing w:val="-11"/>
        </w:rPr>
        <w:t xml:space="preserve"> </w:t>
      </w:r>
      <w:r>
        <w:rPr>
          <w:spacing w:val="1"/>
        </w:rPr>
        <w:t xml:space="preserve">and </w:t>
      </w:r>
      <w:r>
        <w:t>f</w:t>
      </w:r>
      <w:r>
        <w:rPr>
          <w:spacing w:val="1"/>
        </w:rPr>
        <w:t>inancia</w:t>
      </w:r>
      <w:r>
        <w:t>l</w:t>
      </w:r>
      <w:r>
        <w:rPr>
          <w:spacing w:val="-9"/>
        </w:rPr>
        <w:t xml:space="preserve"> </w:t>
      </w:r>
      <w:r>
        <w:rPr>
          <w:spacing w:val="1"/>
        </w:rPr>
        <w:t>inc</w:t>
      </w:r>
      <w:r>
        <w:t>e</w:t>
      </w:r>
      <w:r>
        <w:rPr>
          <w:spacing w:val="-2"/>
        </w:rPr>
        <w:t>n</w:t>
      </w:r>
      <w:r>
        <w:rPr>
          <w:spacing w:val="2"/>
        </w:rPr>
        <w:t>t</w:t>
      </w:r>
      <w:r>
        <w:rPr>
          <w:spacing w:val="1"/>
        </w:rPr>
        <w:t>i</w:t>
      </w:r>
      <w:r>
        <w:t>ve</w:t>
      </w:r>
      <w:r>
        <w:rPr>
          <w:spacing w:val="-9"/>
        </w:rPr>
        <w:t xml:space="preserve"> </w:t>
      </w:r>
      <w:r>
        <w:t>f</w:t>
      </w:r>
      <w:r>
        <w:rPr>
          <w:spacing w:val="-1"/>
        </w:rPr>
        <w:t>o</w:t>
      </w:r>
      <w:r>
        <w:t>r</w:t>
      </w:r>
      <w:r>
        <w:rPr>
          <w:spacing w:val="-3"/>
        </w:rPr>
        <w:t xml:space="preserve"> </w:t>
      </w:r>
      <w:r>
        <w:rPr>
          <w:spacing w:val="2"/>
        </w:rPr>
        <w:t>t</w:t>
      </w:r>
      <w:r>
        <w:rPr>
          <w:spacing w:val="-2"/>
        </w:rPr>
        <w:t>h</w:t>
      </w:r>
      <w:r>
        <w:t>e</w:t>
      </w:r>
      <w:r>
        <w:rPr>
          <w:spacing w:val="-3"/>
        </w:rPr>
        <w:t xml:space="preserve"> </w:t>
      </w:r>
      <w:r>
        <w:rPr>
          <w:spacing w:val="1"/>
        </w:rPr>
        <w:t>D</w:t>
      </w:r>
      <w:r>
        <w:t>eve</w:t>
      </w:r>
      <w:r>
        <w:rPr>
          <w:spacing w:val="1"/>
        </w:rPr>
        <w:t>l</w:t>
      </w:r>
      <w:r>
        <w:rPr>
          <w:spacing w:val="-1"/>
        </w:rPr>
        <w:t>o</w:t>
      </w:r>
      <w:r>
        <w:rPr>
          <w:spacing w:val="1"/>
        </w:rPr>
        <w:t>p</w:t>
      </w:r>
      <w:r>
        <w:t>er</w:t>
      </w:r>
      <w:r>
        <w:rPr>
          <w:spacing w:val="-10"/>
        </w:rPr>
        <w:t xml:space="preserve"> </w:t>
      </w:r>
      <w:r>
        <w:rPr>
          <w:spacing w:val="2"/>
        </w:rPr>
        <w:t>t</w:t>
      </w:r>
      <w:r>
        <w:t>o</w:t>
      </w:r>
      <w:r>
        <w:rPr>
          <w:spacing w:val="-3"/>
        </w:rPr>
        <w:t xml:space="preserve"> </w:t>
      </w:r>
      <w:r>
        <w:rPr>
          <w:spacing w:val="3"/>
        </w:rPr>
        <w:t>c</w:t>
      </w:r>
      <w:r>
        <w:rPr>
          <w:spacing w:val="-1"/>
        </w:rPr>
        <w:t>o</w:t>
      </w:r>
      <w:r>
        <w:t>m</w:t>
      </w:r>
      <w:r>
        <w:rPr>
          <w:spacing w:val="1"/>
        </w:rPr>
        <w:t>pl</w:t>
      </w:r>
      <w:r>
        <w:t>e</w:t>
      </w:r>
      <w:r>
        <w:rPr>
          <w:spacing w:val="2"/>
        </w:rPr>
        <w:t>t</w:t>
      </w:r>
      <w:r>
        <w:t>e</w:t>
      </w:r>
      <w:r>
        <w:rPr>
          <w:spacing w:val="-9"/>
        </w:rPr>
        <w:t xml:space="preserve"> </w:t>
      </w:r>
      <w:r>
        <w:rPr>
          <w:spacing w:val="2"/>
        </w:rPr>
        <w:t>t</w:t>
      </w:r>
      <w:r>
        <w:rPr>
          <w:spacing w:val="1"/>
        </w:rPr>
        <w:t>h</w:t>
      </w:r>
      <w:r>
        <w:t>e</w:t>
      </w:r>
      <w:r>
        <w:rPr>
          <w:spacing w:val="-3"/>
        </w:rPr>
        <w:t xml:space="preserve"> </w:t>
      </w:r>
      <w:r>
        <w:rPr>
          <w:spacing w:val="-1"/>
        </w:rPr>
        <w:t>S</w:t>
      </w:r>
      <w:r>
        <w:rPr>
          <w:spacing w:val="1"/>
        </w:rPr>
        <w:t>ch</w:t>
      </w:r>
      <w:r>
        <w:t>eme.</w:t>
      </w:r>
      <w:r>
        <w:rPr>
          <w:spacing w:val="-9"/>
        </w:rPr>
        <w:t xml:space="preserve"> </w:t>
      </w:r>
      <w:r>
        <w:rPr>
          <w:spacing w:val="1"/>
        </w:rPr>
        <w:t>C</w:t>
      </w:r>
      <w:r>
        <w:rPr>
          <w:spacing w:val="-1"/>
        </w:rPr>
        <w:t>o</w:t>
      </w:r>
      <w:r>
        <w:rPr>
          <w:spacing w:val="1"/>
        </w:rPr>
        <w:t>n</w:t>
      </w:r>
      <w:r>
        <w:rPr>
          <w:spacing w:val="-1"/>
        </w:rPr>
        <w:t>s</w:t>
      </w:r>
      <w:r>
        <w:t>e</w:t>
      </w:r>
      <w:r>
        <w:rPr>
          <w:spacing w:val="3"/>
        </w:rPr>
        <w:t>q</w:t>
      </w:r>
      <w:r>
        <w:rPr>
          <w:spacing w:val="1"/>
        </w:rPr>
        <w:t>u</w:t>
      </w:r>
      <w:r>
        <w:t>e</w:t>
      </w:r>
      <w:r>
        <w:rPr>
          <w:spacing w:val="1"/>
        </w:rPr>
        <w:t>n</w:t>
      </w:r>
      <w:r>
        <w:rPr>
          <w:spacing w:val="2"/>
        </w:rPr>
        <w:t>t</w:t>
      </w:r>
      <w:r>
        <w:rPr>
          <w:spacing w:val="1"/>
        </w:rPr>
        <w:t>l</w:t>
      </w:r>
      <w:r>
        <w:t>y,</w:t>
      </w:r>
      <w:r>
        <w:rPr>
          <w:spacing w:val="-14"/>
        </w:rPr>
        <w:t xml:space="preserve"> </w:t>
      </w:r>
      <w:r>
        <w:rPr>
          <w:spacing w:val="2"/>
        </w:rPr>
        <w:t>t</w:t>
      </w:r>
      <w:r>
        <w:rPr>
          <w:spacing w:val="1"/>
        </w:rPr>
        <w:t>h</w:t>
      </w:r>
      <w:r>
        <w:t xml:space="preserve">e </w:t>
      </w:r>
      <w:r>
        <w:rPr>
          <w:spacing w:val="1"/>
        </w:rPr>
        <w:t>D</w:t>
      </w:r>
      <w:r>
        <w:t>eve</w:t>
      </w:r>
      <w:r>
        <w:rPr>
          <w:spacing w:val="1"/>
        </w:rPr>
        <w:t>l</w:t>
      </w:r>
      <w:r>
        <w:rPr>
          <w:spacing w:val="-1"/>
        </w:rPr>
        <w:t>o</w:t>
      </w:r>
      <w:r>
        <w:rPr>
          <w:spacing w:val="1"/>
        </w:rPr>
        <w:t>p</w:t>
      </w:r>
      <w:r>
        <w:t>er</w:t>
      </w:r>
      <w:r>
        <w:rPr>
          <w:spacing w:val="-10"/>
        </w:rPr>
        <w:t xml:space="preserve"> </w:t>
      </w:r>
      <w:r>
        <w:rPr>
          <w:spacing w:val="1"/>
        </w:rPr>
        <w:t>i</w:t>
      </w:r>
      <w:r>
        <w:t>s</w:t>
      </w:r>
      <w:r>
        <w:rPr>
          <w:spacing w:val="-2"/>
        </w:rPr>
        <w:t xml:space="preserve"> </w:t>
      </w:r>
      <w:r>
        <w:rPr>
          <w:spacing w:val="3"/>
        </w:rPr>
        <w:t>c</w:t>
      </w:r>
      <w:r>
        <w:rPr>
          <w:spacing w:val="-1"/>
        </w:rPr>
        <w:t>o</w:t>
      </w:r>
      <w:r>
        <w:t>mm</w:t>
      </w:r>
      <w:r>
        <w:rPr>
          <w:spacing w:val="1"/>
        </w:rPr>
        <w:t>i</w:t>
      </w:r>
      <w:r>
        <w:rPr>
          <w:spacing w:val="2"/>
        </w:rPr>
        <w:t>tt</w:t>
      </w:r>
      <w:r>
        <w:t>ed</w:t>
      </w:r>
      <w:r>
        <w:rPr>
          <w:spacing w:val="-11"/>
        </w:rPr>
        <w:t xml:space="preserve"> </w:t>
      </w:r>
      <w:r>
        <w:t>to</w:t>
      </w:r>
      <w:r>
        <w:rPr>
          <w:spacing w:val="-3"/>
        </w:rPr>
        <w:t xml:space="preserve"> </w:t>
      </w:r>
      <w:r>
        <w:rPr>
          <w:spacing w:val="2"/>
        </w:rPr>
        <w:t>t</w:t>
      </w:r>
      <w:r>
        <w:rPr>
          <w:spacing w:val="1"/>
        </w:rPr>
        <w:t>h</w:t>
      </w:r>
      <w:r>
        <w:t>e</w:t>
      </w:r>
      <w:r>
        <w:rPr>
          <w:spacing w:val="-3"/>
        </w:rPr>
        <w:t xml:space="preserve"> </w:t>
      </w:r>
      <w:r>
        <w:rPr>
          <w:spacing w:val="1"/>
        </w:rPr>
        <w:t>c</w:t>
      </w:r>
      <w:r>
        <w:rPr>
          <w:spacing w:val="-1"/>
        </w:rPr>
        <w:t>o</w:t>
      </w:r>
      <w:r>
        <w:t>m</w:t>
      </w:r>
      <w:r>
        <w:rPr>
          <w:spacing w:val="1"/>
        </w:rPr>
        <w:t>pl</w:t>
      </w:r>
      <w:r>
        <w:t>e</w:t>
      </w:r>
      <w:r>
        <w:rPr>
          <w:spacing w:val="2"/>
        </w:rPr>
        <w:t>t</w:t>
      </w:r>
      <w:r>
        <w:rPr>
          <w:spacing w:val="1"/>
        </w:rPr>
        <w:t>i</w:t>
      </w:r>
      <w:r>
        <w:rPr>
          <w:spacing w:val="-1"/>
        </w:rPr>
        <w:t>o</w:t>
      </w:r>
      <w:r>
        <w:t>n</w:t>
      </w:r>
      <w:r>
        <w:rPr>
          <w:spacing w:val="-10"/>
        </w:rPr>
        <w:t xml:space="preserve"> </w:t>
      </w:r>
      <w:r>
        <w:rPr>
          <w:spacing w:val="-1"/>
        </w:rPr>
        <w:t>o</w:t>
      </w:r>
      <w:r>
        <w:t>f</w:t>
      </w:r>
      <w:r>
        <w:rPr>
          <w:spacing w:val="-2"/>
        </w:rPr>
        <w:t xml:space="preserve"> </w:t>
      </w:r>
      <w:r>
        <w:rPr>
          <w:spacing w:val="2"/>
        </w:rPr>
        <w:t>t</w:t>
      </w:r>
      <w:r>
        <w:rPr>
          <w:spacing w:val="1"/>
        </w:rPr>
        <w:t>h</w:t>
      </w:r>
      <w:r>
        <w:t>e</w:t>
      </w:r>
      <w:r>
        <w:rPr>
          <w:spacing w:val="-3"/>
        </w:rPr>
        <w:t xml:space="preserve"> </w:t>
      </w:r>
      <w:r>
        <w:t>scheme.</w:t>
      </w:r>
    </w:p>
    <w:p w14:paraId="7C15538A" w14:textId="77777777" w:rsidR="006C458B" w:rsidRDefault="006C458B" w:rsidP="004B61EA">
      <w:pPr>
        <w:ind w:left="720" w:hanging="720"/>
        <w:rPr>
          <w:b/>
        </w:rPr>
      </w:pPr>
      <w:r w:rsidRPr="006C458B">
        <w:rPr>
          <w:b/>
        </w:rPr>
        <w:t>OTHER CONSENTS</w:t>
      </w:r>
    </w:p>
    <w:p w14:paraId="5932BDCE" w14:textId="21E38068" w:rsidR="00872779" w:rsidRDefault="006C458B" w:rsidP="004B61EA">
      <w:pPr>
        <w:ind w:left="720" w:hanging="720"/>
      </w:pPr>
      <w:r>
        <w:t>6.</w:t>
      </w:r>
      <w:r w:rsidR="00004781">
        <w:t>1</w:t>
      </w:r>
      <w:r w:rsidR="004F1C8B">
        <w:t>2</w:t>
      </w:r>
      <w:r>
        <w:tab/>
      </w:r>
      <w:r w:rsidR="00004781">
        <w:t>Application has been made for a</w:t>
      </w:r>
      <w:r>
        <w:t xml:space="preserve"> Stopping Up Order to enable the construction of the scheme. </w:t>
      </w:r>
      <w:r w:rsidR="00C932AF">
        <w:t>This relates to certain</w:t>
      </w:r>
      <w:r>
        <w:t xml:space="preserve"> highways and footpaths within the scheme</w:t>
      </w:r>
      <w:r w:rsidR="00B109E1">
        <w:t xml:space="preserve"> and</w:t>
      </w:r>
      <w:r>
        <w:t xml:space="preserve"> was publicised on 26 October 2017</w:t>
      </w:r>
      <w:r w:rsidR="00B109E1">
        <w:t>.</w:t>
      </w:r>
      <w:r>
        <w:t xml:space="preserve"> </w:t>
      </w:r>
      <w:r w:rsidR="00B109E1">
        <w:t>A number of objections</w:t>
      </w:r>
      <w:r w:rsidRPr="00D97C31">
        <w:t xml:space="preserve"> were received.</w:t>
      </w:r>
      <w:r>
        <w:t xml:space="preserve"> The Council and Developer are currently working together </w:t>
      </w:r>
      <w:r w:rsidR="001D675B">
        <w:t>to implement a process of providing</w:t>
      </w:r>
      <w:r w:rsidR="00EB2B3D">
        <w:t xml:space="preserve"> the post completion</w:t>
      </w:r>
      <w:r w:rsidR="001D675B">
        <w:t xml:space="preserve"> public rights of way within the completed scheme in order to adequately respond to the objections received. </w:t>
      </w:r>
    </w:p>
    <w:p w14:paraId="5B014EA5" w14:textId="4C830669" w:rsidR="00EB2B3D" w:rsidRDefault="004F1C8B" w:rsidP="004B61EA">
      <w:pPr>
        <w:ind w:left="720" w:hanging="720"/>
      </w:pPr>
      <w:r>
        <w:t>6.13</w:t>
      </w:r>
      <w:r w:rsidR="00EB2B3D">
        <w:tab/>
        <w:t>The Council has confirmed that it will use its powers under section 26 of the Highways Act 1980 to make public footpath creation orders</w:t>
      </w:r>
      <w:r w:rsidR="00EE7D41">
        <w:t xml:space="preserve"> that</w:t>
      </w:r>
      <w:r w:rsidR="00EB2B3D">
        <w:t xml:space="preserve"> will provide the public rights of way through and around Granville Road Estate post-construction.</w:t>
      </w:r>
      <w:r w:rsidR="009663A0">
        <w:t xml:space="preserve"> Considering the adopted </w:t>
      </w:r>
      <w:r>
        <w:t>approach,</w:t>
      </w:r>
      <w:r w:rsidR="009663A0">
        <w:t xml:space="preserve"> the Developer does not believe that this presents any impediment to the delivery of the Phase 2 Scheme. </w:t>
      </w:r>
    </w:p>
    <w:p w14:paraId="0AA87E9A" w14:textId="36027D62" w:rsidR="00D85780" w:rsidRPr="00D85780" w:rsidRDefault="00D85780" w:rsidP="004B61EA">
      <w:pPr>
        <w:ind w:left="720" w:hanging="720"/>
        <w:rPr>
          <w:b/>
        </w:rPr>
      </w:pPr>
      <w:r>
        <w:t>6.1</w:t>
      </w:r>
      <w:r w:rsidR="004F1C8B">
        <w:t>4</w:t>
      </w:r>
      <w:r>
        <w:tab/>
      </w:r>
      <w:r w:rsidR="00EB2B3D">
        <w:t xml:space="preserve">There </w:t>
      </w:r>
      <w:r w:rsidR="00C932AF">
        <w:t>will be</w:t>
      </w:r>
      <w:r w:rsidR="00EB2B3D">
        <w:t xml:space="preserve"> a need for party wall agreements </w:t>
      </w:r>
      <w:r w:rsidR="008C3A3F">
        <w:t xml:space="preserve">because </w:t>
      </w:r>
      <w:r w:rsidR="00EE28BB">
        <w:t xml:space="preserve">construction </w:t>
      </w:r>
      <w:r w:rsidR="00E97857">
        <w:t>of block B</w:t>
      </w:r>
      <w:r w:rsidR="00EE28BB">
        <w:t xml:space="preserve"> adjoin</w:t>
      </w:r>
      <w:r w:rsidR="00E97857">
        <w:t>s</w:t>
      </w:r>
      <w:r w:rsidR="00EE28BB">
        <w:t xml:space="preserve"> Nant Court, which is an existing building within the estate.</w:t>
      </w:r>
      <w:r w:rsidR="00EB2B3D">
        <w:t xml:space="preserve">  </w:t>
      </w:r>
      <w:r>
        <w:t xml:space="preserve">The Developer has substantially progressed negotiations regarding Party Wall Agreements, however these have not yet been signed in order to prevent </w:t>
      </w:r>
      <w:r w:rsidR="00C932AF">
        <w:t xml:space="preserve">their </w:t>
      </w:r>
      <w:r>
        <w:t>expir</w:t>
      </w:r>
      <w:r w:rsidR="00C932AF">
        <w:t>y</w:t>
      </w:r>
      <w:r>
        <w:t xml:space="preserve"> before works have been undertaken.</w:t>
      </w:r>
    </w:p>
    <w:p w14:paraId="7D0D8999" w14:textId="77777777" w:rsidR="00872779" w:rsidRDefault="00872779">
      <w:pPr>
        <w:spacing w:before="0" w:after="160"/>
      </w:pPr>
      <w:r>
        <w:br w:type="page"/>
      </w:r>
    </w:p>
    <w:p w14:paraId="0B64A081" w14:textId="77777777" w:rsidR="006C458B" w:rsidRDefault="00872779" w:rsidP="00872779">
      <w:pPr>
        <w:pStyle w:val="Heading1"/>
      </w:pPr>
      <w:bookmarkStart w:id="8" w:name="_Toc516156325"/>
      <w:r>
        <w:lastRenderedPageBreak/>
        <w:t>7. Conclusion</w:t>
      </w:r>
      <w:bookmarkEnd w:id="8"/>
    </w:p>
    <w:p w14:paraId="2E6E3A53" w14:textId="77777777" w:rsidR="00872779" w:rsidRDefault="009846E4" w:rsidP="00872779">
      <w:r>
        <w:t>7</w:t>
      </w:r>
      <w:r w:rsidR="00872779">
        <w:t>.1      In my evidence I have:</w:t>
      </w:r>
    </w:p>
    <w:p w14:paraId="55C0443D" w14:textId="77777777" w:rsidR="00872779" w:rsidRDefault="00872779" w:rsidP="00872779">
      <w:pPr>
        <w:pStyle w:val="ListParagraph"/>
        <w:numPr>
          <w:ilvl w:val="0"/>
          <w:numId w:val="4"/>
        </w:numPr>
        <w:ind w:left="1077"/>
        <w:contextualSpacing w:val="0"/>
      </w:pPr>
      <w:r>
        <w:t>Described the structure of the Developer and its arrangements with the Council</w:t>
      </w:r>
    </w:p>
    <w:p w14:paraId="4C06B9F1" w14:textId="77777777" w:rsidR="00872779" w:rsidRDefault="00872779" w:rsidP="00872779">
      <w:pPr>
        <w:pStyle w:val="ListParagraph"/>
        <w:numPr>
          <w:ilvl w:val="0"/>
          <w:numId w:val="4"/>
        </w:numPr>
        <w:ind w:left="1077"/>
        <w:contextualSpacing w:val="0"/>
      </w:pPr>
      <w:r>
        <w:t>Described the experience of the Developer</w:t>
      </w:r>
    </w:p>
    <w:p w14:paraId="39182DF7" w14:textId="77777777" w:rsidR="00872779" w:rsidRDefault="00872779" w:rsidP="00872779">
      <w:pPr>
        <w:pStyle w:val="ListParagraph"/>
        <w:numPr>
          <w:ilvl w:val="0"/>
          <w:numId w:val="4"/>
        </w:numPr>
        <w:ind w:left="1077"/>
        <w:contextualSpacing w:val="0"/>
      </w:pPr>
      <w:r>
        <w:t>Described the Scheme, project phasing and progress to date</w:t>
      </w:r>
    </w:p>
    <w:p w14:paraId="6FA82748" w14:textId="4E9FEB4C" w:rsidR="00872779" w:rsidRDefault="00872779" w:rsidP="00872779">
      <w:pPr>
        <w:pStyle w:val="ListParagraph"/>
        <w:numPr>
          <w:ilvl w:val="0"/>
          <w:numId w:val="4"/>
        </w:numPr>
        <w:ind w:left="1077"/>
        <w:contextualSpacing w:val="0"/>
      </w:pPr>
      <w:r>
        <w:t>Confirmed the Deve</w:t>
      </w:r>
      <w:r w:rsidR="00811DAF">
        <w:t>loper’s commitment to Delivery</w:t>
      </w:r>
    </w:p>
    <w:p w14:paraId="515FE07B" w14:textId="55F27D89" w:rsidR="00C931EF" w:rsidRDefault="00C931EF" w:rsidP="00247CBA">
      <w:pPr>
        <w:ind w:left="720" w:hanging="720"/>
      </w:pPr>
      <w:r>
        <w:t>7.2</w:t>
      </w:r>
      <w:r>
        <w:tab/>
        <w:t xml:space="preserve">I can confirm from the Developer's point of view </w:t>
      </w:r>
      <w:r w:rsidR="00247CBA">
        <w:t xml:space="preserve">that, other than the completion of land assembly </w:t>
      </w:r>
      <w:r>
        <w:t>there are no planning, financial</w:t>
      </w:r>
      <w:r w:rsidR="00247CBA">
        <w:t xml:space="preserve"> or other impediments to the delivery of the Phase 2 Scheme.</w:t>
      </w:r>
      <w:r>
        <w:t xml:space="preserve"> </w:t>
      </w:r>
    </w:p>
    <w:p w14:paraId="75CC1304" w14:textId="14676C81" w:rsidR="00CE0F79" w:rsidRDefault="00CE0F79" w:rsidP="00CE0F79">
      <w:pPr>
        <w:pStyle w:val="Heading1"/>
      </w:pPr>
      <w:r>
        <w:t>8</w:t>
      </w:r>
      <w:r>
        <w:t xml:space="preserve">. </w:t>
      </w:r>
      <w:r>
        <w:t>Declaration</w:t>
      </w:r>
    </w:p>
    <w:p w14:paraId="6202CDF6" w14:textId="57A3F16D" w:rsidR="00872779" w:rsidRDefault="00CE0F79" w:rsidP="00CE0F79">
      <w:bookmarkStart w:id="9" w:name="_GoBack"/>
      <w:bookmarkEnd w:id="9"/>
      <w:r>
        <w:t>I believe that the facts stated in this proof of evidence are true.</w:t>
      </w:r>
    </w:p>
    <w:p w14:paraId="5EBA5D10" w14:textId="1135F01B" w:rsidR="00CE0F79" w:rsidRDefault="00CE0F79" w:rsidP="00CE0F79">
      <w:r>
        <w:t>Ross Williams</w:t>
      </w:r>
    </w:p>
    <w:p w14:paraId="2E91249A" w14:textId="5D48EC36" w:rsidR="00CE0F79" w:rsidRPr="00CE0F79" w:rsidRDefault="00CE0F79" w:rsidP="00CE0F79">
      <w:pPr>
        <w:rPr>
          <w:highlight w:val="yellow"/>
        </w:rPr>
      </w:pPr>
      <w:r>
        <w:t>26 June 2018</w:t>
      </w:r>
    </w:p>
    <w:sectPr w:rsidR="00CE0F79" w:rsidRPr="00CE0F79" w:rsidSect="00943E9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A00D2" w14:textId="77777777" w:rsidR="003D6438" w:rsidRDefault="003D6438" w:rsidP="00943E9F">
      <w:pPr>
        <w:spacing w:before="0" w:after="0" w:line="240" w:lineRule="auto"/>
      </w:pPr>
      <w:r>
        <w:separator/>
      </w:r>
    </w:p>
  </w:endnote>
  <w:endnote w:type="continuationSeparator" w:id="0">
    <w:p w14:paraId="7C18E1E4" w14:textId="77777777" w:rsidR="003D6438" w:rsidRDefault="003D6438" w:rsidP="00943E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33F44" w14:textId="77777777" w:rsidR="00C6593A" w:rsidRDefault="00C659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889065"/>
      <w:docPartObj>
        <w:docPartGallery w:val="Page Numbers (Bottom of Page)"/>
        <w:docPartUnique/>
      </w:docPartObj>
    </w:sdtPr>
    <w:sdtEndPr>
      <w:rPr>
        <w:noProof/>
      </w:rPr>
    </w:sdtEndPr>
    <w:sdtContent>
      <w:p w14:paraId="4DACA1C3" w14:textId="629F58BE" w:rsidR="00943E9F" w:rsidRDefault="00943E9F" w:rsidP="00943E9F">
        <w:pPr>
          <w:pStyle w:val="Footer"/>
          <w:jc w:val="right"/>
        </w:pPr>
        <w:r>
          <w:fldChar w:fldCharType="begin"/>
        </w:r>
        <w:r>
          <w:instrText xml:space="preserve"> PAGE   \* MERGEFORMAT </w:instrText>
        </w:r>
        <w:r>
          <w:fldChar w:fldCharType="separate"/>
        </w:r>
        <w:r w:rsidR="00D750F7">
          <w:rPr>
            <w:noProof/>
          </w:rPr>
          <w:t>16</w:t>
        </w:r>
        <w:r>
          <w:rPr>
            <w:noProof/>
          </w:rPr>
          <w:fldChar w:fldCharType="end"/>
        </w:r>
      </w:p>
    </w:sdtContent>
  </w:sdt>
  <w:p w14:paraId="72C6A34F" w14:textId="77777777" w:rsidR="00943E9F" w:rsidRDefault="00943E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33DFC" w14:textId="77777777" w:rsidR="00C6593A" w:rsidRDefault="00C65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6E75C" w14:textId="77777777" w:rsidR="003D6438" w:rsidRDefault="003D6438" w:rsidP="00943E9F">
      <w:pPr>
        <w:spacing w:before="0" w:after="0" w:line="240" w:lineRule="auto"/>
      </w:pPr>
      <w:r>
        <w:separator/>
      </w:r>
    </w:p>
  </w:footnote>
  <w:footnote w:type="continuationSeparator" w:id="0">
    <w:p w14:paraId="1B96EA16" w14:textId="77777777" w:rsidR="003D6438" w:rsidRDefault="003D6438" w:rsidP="00943E9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2AC1F" w14:textId="77777777" w:rsidR="00C6593A" w:rsidRDefault="00C659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A90E4" w14:textId="77777777" w:rsidR="00943E9F" w:rsidRDefault="00943E9F">
    <w:pPr>
      <w:pStyle w:val="Header"/>
    </w:pPr>
    <w:r>
      <w:t>Proof of Evidence - New Granville Limited Liability Partnership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E0DDB" w14:textId="77777777" w:rsidR="00C6593A" w:rsidRDefault="00C659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AF4"/>
    <w:multiLevelType w:val="hybridMultilevel"/>
    <w:tmpl w:val="E3E8DC4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
    <w:nsid w:val="027E507E"/>
    <w:multiLevelType w:val="hybridMultilevel"/>
    <w:tmpl w:val="6B10DC0A"/>
    <w:lvl w:ilvl="0" w:tplc="08090001">
      <w:start w:val="1"/>
      <w:numFmt w:val="bullet"/>
      <w:lvlText w:val=""/>
      <w:lvlJc w:val="left"/>
      <w:pPr>
        <w:ind w:left="1098" w:hanging="360"/>
      </w:pPr>
      <w:rPr>
        <w:rFonts w:ascii="Symbol" w:hAnsi="Symbo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2">
    <w:nsid w:val="10467CAE"/>
    <w:multiLevelType w:val="hybridMultilevel"/>
    <w:tmpl w:val="213442FC"/>
    <w:lvl w:ilvl="0" w:tplc="B156D5A0">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DA1D18"/>
    <w:multiLevelType w:val="hybridMultilevel"/>
    <w:tmpl w:val="B12A0D04"/>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4">
    <w:nsid w:val="16916503"/>
    <w:multiLevelType w:val="hybridMultilevel"/>
    <w:tmpl w:val="08BA30E6"/>
    <w:lvl w:ilvl="0" w:tplc="2244E9C4">
      <w:start w:val="1"/>
      <w:numFmt w:val="decimal"/>
      <w:lvlText w:val="%1."/>
      <w:lvlJc w:val="left"/>
      <w:pPr>
        <w:ind w:left="720" w:hanging="360"/>
      </w:pPr>
    </w:lvl>
    <w:lvl w:ilvl="1" w:tplc="34D42B16">
      <w:start w:val="1"/>
      <w:numFmt w:val="lowerLetter"/>
      <w:lvlText w:val="%2."/>
      <w:lvlJc w:val="left"/>
      <w:pPr>
        <w:ind w:left="1440"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8D302F"/>
    <w:multiLevelType w:val="hybridMultilevel"/>
    <w:tmpl w:val="63B21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6FC53E6"/>
    <w:multiLevelType w:val="hybridMultilevel"/>
    <w:tmpl w:val="D6006936"/>
    <w:lvl w:ilvl="0" w:tplc="08090001">
      <w:start w:val="1"/>
      <w:numFmt w:val="bullet"/>
      <w:lvlText w:val=""/>
      <w:lvlJc w:val="left"/>
      <w:pPr>
        <w:ind w:left="3576" w:hanging="360"/>
      </w:pPr>
      <w:rPr>
        <w:rFonts w:ascii="Symbol" w:hAnsi="Symbol" w:hint="default"/>
      </w:rPr>
    </w:lvl>
    <w:lvl w:ilvl="1" w:tplc="08090003" w:tentative="1">
      <w:start w:val="1"/>
      <w:numFmt w:val="bullet"/>
      <w:lvlText w:val="o"/>
      <w:lvlJc w:val="left"/>
      <w:pPr>
        <w:ind w:left="4296" w:hanging="360"/>
      </w:pPr>
      <w:rPr>
        <w:rFonts w:ascii="Courier New" w:hAnsi="Courier New" w:cs="Courier New" w:hint="default"/>
      </w:rPr>
    </w:lvl>
    <w:lvl w:ilvl="2" w:tplc="08090005" w:tentative="1">
      <w:start w:val="1"/>
      <w:numFmt w:val="bullet"/>
      <w:lvlText w:val=""/>
      <w:lvlJc w:val="left"/>
      <w:pPr>
        <w:ind w:left="5016" w:hanging="360"/>
      </w:pPr>
      <w:rPr>
        <w:rFonts w:ascii="Wingdings" w:hAnsi="Wingdings" w:hint="default"/>
      </w:rPr>
    </w:lvl>
    <w:lvl w:ilvl="3" w:tplc="08090001" w:tentative="1">
      <w:start w:val="1"/>
      <w:numFmt w:val="bullet"/>
      <w:lvlText w:val=""/>
      <w:lvlJc w:val="left"/>
      <w:pPr>
        <w:ind w:left="5736" w:hanging="360"/>
      </w:pPr>
      <w:rPr>
        <w:rFonts w:ascii="Symbol" w:hAnsi="Symbol" w:hint="default"/>
      </w:rPr>
    </w:lvl>
    <w:lvl w:ilvl="4" w:tplc="08090003" w:tentative="1">
      <w:start w:val="1"/>
      <w:numFmt w:val="bullet"/>
      <w:lvlText w:val="o"/>
      <w:lvlJc w:val="left"/>
      <w:pPr>
        <w:ind w:left="6456" w:hanging="360"/>
      </w:pPr>
      <w:rPr>
        <w:rFonts w:ascii="Courier New" w:hAnsi="Courier New" w:cs="Courier New" w:hint="default"/>
      </w:rPr>
    </w:lvl>
    <w:lvl w:ilvl="5" w:tplc="08090005" w:tentative="1">
      <w:start w:val="1"/>
      <w:numFmt w:val="bullet"/>
      <w:lvlText w:val=""/>
      <w:lvlJc w:val="left"/>
      <w:pPr>
        <w:ind w:left="7176" w:hanging="360"/>
      </w:pPr>
      <w:rPr>
        <w:rFonts w:ascii="Wingdings" w:hAnsi="Wingdings" w:hint="default"/>
      </w:rPr>
    </w:lvl>
    <w:lvl w:ilvl="6" w:tplc="08090001" w:tentative="1">
      <w:start w:val="1"/>
      <w:numFmt w:val="bullet"/>
      <w:lvlText w:val=""/>
      <w:lvlJc w:val="left"/>
      <w:pPr>
        <w:ind w:left="7896" w:hanging="360"/>
      </w:pPr>
      <w:rPr>
        <w:rFonts w:ascii="Symbol" w:hAnsi="Symbol" w:hint="default"/>
      </w:rPr>
    </w:lvl>
    <w:lvl w:ilvl="7" w:tplc="08090003" w:tentative="1">
      <w:start w:val="1"/>
      <w:numFmt w:val="bullet"/>
      <w:lvlText w:val="o"/>
      <w:lvlJc w:val="left"/>
      <w:pPr>
        <w:ind w:left="8616" w:hanging="360"/>
      </w:pPr>
      <w:rPr>
        <w:rFonts w:ascii="Courier New" w:hAnsi="Courier New" w:cs="Courier New" w:hint="default"/>
      </w:rPr>
    </w:lvl>
    <w:lvl w:ilvl="8" w:tplc="08090005" w:tentative="1">
      <w:start w:val="1"/>
      <w:numFmt w:val="bullet"/>
      <w:lvlText w:val=""/>
      <w:lvlJc w:val="left"/>
      <w:pPr>
        <w:ind w:left="9336" w:hanging="360"/>
      </w:pPr>
      <w:rPr>
        <w:rFonts w:ascii="Wingdings" w:hAnsi="Wingdings" w:hint="default"/>
      </w:rPr>
    </w:lvl>
  </w:abstractNum>
  <w:abstractNum w:abstractNumId="7">
    <w:nsid w:val="29B6600F"/>
    <w:multiLevelType w:val="hybridMultilevel"/>
    <w:tmpl w:val="EC40E2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2F6E438B"/>
    <w:multiLevelType w:val="hybridMultilevel"/>
    <w:tmpl w:val="E2487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21C26A3"/>
    <w:multiLevelType w:val="hybridMultilevel"/>
    <w:tmpl w:val="DB10B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6410C14"/>
    <w:multiLevelType w:val="hybridMultilevel"/>
    <w:tmpl w:val="F93626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3D3F59D5"/>
    <w:multiLevelType w:val="hybridMultilevel"/>
    <w:tmpl w:val="1F7E76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C757054"/>
    <w:multiLevelType w:val="hybridMultilevel"/>
    <w:tmpl w:val="E6BC5776"/>
    <w:lvl w:ilvl="0" w:tplc="B156D5A0">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1E5621"/>
    <w:multiLevelType w:val="hybridMultilevel"/>
    <w:tmpl w:val="DAFC7CA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nsid w:val="535774FC"/>
    <w:multiLevelType w:val="hybridMultilevel"/>
    <w:tmpl w:val="7BE0A94E"/>
    <w:lvl w:ilvl="0" w:tplc="08090001">
      <w:start w:val="1"/>
      <w:numFmt w:val="bullet"/>
      <w:lvlText w:val=""/>
      <w:lvlJc w:val="left"/>
      <w:pPr>
        <w:ind w:left="3219" w:hanging="360"/>
      </w:pPr>
      <w:rPr>
        <w:rFonts w:ascii="Symbol" w:hAnsi="Symbol" w:hint="default"/>
      </w:rPr>
    </w:lvl>
    <w:lvl w:ilvl="1" w:tplc="08090003" w:tentative="1">
      <w:start w:val="1"/>
      <w:numFmt w:val="bullet"/>
      <w:lvlText w:val="o"/>
      <w:lvlJc w:val="left"/>
      <w:pPr>
        <w:ind w:left="3939" w:hanging="360"/>
      </w:pPr>
      <w:rPr>
        <w:rFonts w:ascii="Courier New" w:hAnsi="Courier New" w:cs="Courier New" w:hint="default"/>
      </w:rPr>
    </w:lvl>
    <w:lvl w:ilvl="2" w:tplc="08090005" w:tentative="1">
      <w:start w:val="1"/>
      <w:numFmt w:val="bullet"/>
      <w:lvlText w:val=""/>
      <w:lvlJc w:val="left"/>
      <w:pPr>
        <w:ind w:left="4659" w:hanging="360"/>
      </w:pPr>
      <w:rPr>
        <w:rFonts w:ascii="Wingdings" w:hAnsi="Wingdings" w:hint="default"/>
      </w:rPr>
    </w:lvl>
    <w:lvl w:ilvl="3" w:tplc="08090001" w:tentative="1">
      <w:start w:val="1"/>
      <w:numFmt w:val="bullet"/>
      <w:lvlText w:val=""/>
      <w:lvlJc w:val="left"/>
      <w:pPr>
        <w:ind w:left="5379" w:hanging="360"/>
      </w:pPr>
      <w:rPr>
        <w:rFonts w:ascii="Symbol" w:hAnsi="Symbol" w:hint="default"/>
      </w:rPr>
    </w:lvl>
    <w:lvl w:ilvl="4" w:tplc="08090003" w:tentative="1">
      <w:start w:val="1"/>
      <w:numFmt w:val="bullet"/>
      <w:lvlText w:val="o"/>
      <w:lvlJc w:val="left"/>
      <w:pPr>
        <w:ind w:left="6099" w:hanging="360"/>
      </w:pPr>
      <w:rPr>
        <w:rFonts w:ascii="Courier New" w:hAnsi="Courier New" w:cs="Courier New" w:hint="default"/>
      </w:rPr>
    </w:lvl>
    <w:lvl w:ilvl="5" w:tplc="08090005" w:tentative="1">
      <w:start w:val="1"/>
      <w:numFmt w:val="bullet"/>
      <w:lvlText w:val=""/>
      <w:lvlJc w:val="left"/>
      <w:pPr>
        <w:ind w:left="6819" w:hanging="360"/>
      </w:pPr>
      <w:rPr>
        <w:rFonts w:ascii="Wingdings" w:hAnsi="Wingdings" w:hint="default"/>
      </w:rPr>
    </w:lvl>
    <w:lvl w:ilvl="6" w:tplc="08090001" w:tentative="1">
      <w:start w:val="1"/>
      <w:numFmt w:val="bullet"/>
      <w:lvlText w:val=""/>
      <w:lvlJc w:val="left"/>
      <w:pPr>
        <w:ind w:left="7539" w:hanging="360"/>
      </w:pPr>
      <w:rPr>
        <w:rFonts w:ascii="Symbol" w:hAnsi="Symbol" w:hint="default"/>
      </w:rPr>
    </w:lvl>
    <w:lvl w:ilvl="7" w:tplc="08090003" w:tentative="1">
      <w:start w:val="1"/>
      <w:numFmt w:val="bullet"/>
      <w:lvlText w:val="o"/>
      <w:lvlJc w:val="left"/>
      <w:pPr>
        <w:ind w:left="8259" w:hanging="360"/>
      </w:pPr>
      <w:rPr>
        <w:rFonts w:ascii="Courier New" w:hAnsi="Courier New" w:cs="Courier New" w:hint="default"/>
      </w:rPr>
    </w:lvl>
    <w:lvl w:ilvl="8" w:tplc="08090005" w:tentative="1">
      <w:start w:val="1"/>
      <w:numFmt w:val="bullet"/>
      <w:lvlText w:val=""/>
      <w:lvlJc w:val="left"/>
      <w:pPr>
        <w:ind w:left="8979" w:hanging="360"/>
      </w:pPr>
      <w:rPr>
        <w:rFonts w:ascii="Wingdings" w:hAnsi="Wingdings" w:hint="default"/>
      </w:rPr>
    </w:lvl>
  </w:abstractNum>
  <w:abstractNum w:abstractNumId="15">
    <w:nsid w:val="567D3930"/>
    <w:multiLevelType w:val="hybridMultilevel"/>
    <w:tmpl w:val="DC286F76"/>
    <w:lvl w:ilvl="0" w:tplc="08090001">
      <w:start w:val="1"/>
      <w:numFmt w:val="bullet"/>
      <w:lvlText w:val=""/>
      <w:lvlJc w:val="left"/>
      <w:pPr>
        <w:ind w:left="3219" w:hanging="360"/>
      </w:pPr>
      <w:rPr>
        <w:rFonts w:ascii="Symbol" w:hAnsi="Symbol" w:hint="default"/>
        <w:color w:val="000000"/>
      </w:rPr>
    </w:lvl>
    <w:lvl w:ilvl="1" w:tplc="08090003" w:tentative="1">
      <w:start w:val="1"/>
      <w:numFmt w:val="bullet"/>
      <w:lvlText w:val="o"/>
      <w:lvlJc w:val="left"/>
      <w:pPr>
        <w:ind w:left="3939" w:hanging="360"/>
      </w:pPr>
      <w:rPr>
        <w:rFonts w:ascii="Courier New" w:hAnsi="Courier New" w:cs="Courier New" w:hint="default"/>
      </w:rPr>
    </w:lvl>
    <w:lvl w:ilvl="2" w:tplc="08090005" w:tentative="1">
      <w:start w:val="1"/>
      <w:numFmt w:val="bullet"/>
      <w:lvlText w:val=""/>
      <w:lvlJc w:val="left"/>
      <w:pPr>
        <w:ind w:left="4659" w:hanging="360"/>
      </w:pPr>
      <w:rPr>
        <w:rFonts w:ascii="Wingdings" w:hAnsi="Wingdings" w:hint="default"/>
      </w:rPr>
    </w:lvl>
    <w:lvl w:ilvl="3" w:tplc="08090001" w:tentative="1">
      <w:start w:val="1"/>
      <w:numFmt w:val="bullet"/>
      <w:lvlText w:val=""/>
      <w:lvlJc w:val="left"/>
      <w:pPr>
        <w:ind w:left="5379" w:hanging="360"/>
      </w:pPr>
      <w:rPr>
        <w:rFonts w:ascii="Symbol" w:hAnsi="Symbol" w:hint="default"/>
      </w:rPr>
    </w:lvl>
    <w:lvl w:ilvl="4" w:tplc="08090003" w:tentative="1">
      <w:start w:val="1"/>
      <w:numFmt w:val="bullet"/>
      <w:lvlText w:val="o"/>
      <w:lvlJc w:val="left"/>
      <w:pPr>
        <w:ind w:left="6099" w:hanging="360"/>
      </w:pPr>
      <w:rPr>
        <w:rFonts w:ascii="Courier New" w:hAnsi="Courier New" w:cs="Courier New" w:hint="default"/>
      </w:rPr>
    </w:lvl>
    <w:lvl w:ilvl="5" w:tplc="08090005" w:tentative="1">
      <w:start w:val="1"/>
      <w:numFmt w:val="bullet"/>
      <w:lvlText w:val=""/>
      <w:lvlJc w:val="left"/>
      <w:pPr>
        <w:ind w:left="6819" w:hanging="360"/>
      </w:pPr>
      <w:rPr>
        <w:rFonts w:ascii="Wingdings" w:hAnsi="Wingdings" w:hint="default"/>
      </w:rPr>
    </w:lvl>
    <w:lvl w:ilvl="6" w:tplc="08090001" w:tentative="1">
      <w:start w:val="1"/>
      <w:numFmt w:val="bullet"/>
      <w:lvlText w:val=""/>
      <w:lvlJc w:val="left"/>
      <w:pPr>
        <w:ind w:left="7539" w:hanging="360"/>
      </w:pPr>
      <w:rPr>
        <w:rFonts w:ascii="Symbol" w:hAnsi="Symbol" w:hint="default"/>
      </w:rPr>
    </w:lvl>
    <w:lvl w:ilvl="7" w:tplc="08090003" w:tentative="1">
      <w:start w:val="1"/>
      <w:numFmt w:val="bullet"/>
      <w:lvlText w:val="o"/>
      <w:lvlJc w:val="left"/>
      <w:pPr>
        <w:ind w:left="8259" w:hanging="360"/>
      </w:pPr>
      <w:rPr>
        <w:rFonts w:ascii="Courier New" w:hAnsi="Courier New" w:cs="Courier New" w:hint="default"/>
      </w:rPr>
    </w:lvl>
    <w:lvl w:ilvl="8" w:tplc="08090005" w:tentative="1">
      <w:start w:val="1"/>
      <w:numFmt w:val="bullet"/>
      <w:lvlText w:val=""/>
      <w:lvlJc w:val="left"/>
      <w:pPr>
        <w:ind w:left="8979" w:hanging="360"/>
      </w:pPr>
      <w:rPr>
        <w:rFonts w:ascii="Wingdings" w:hAnsi="Wingdings" w:hint="default"/>
      </w:rPr>
    </w:lvl>
  </w:abstractNum>
  <w:abstractNum w:abstractNumId="16">
    <w:nsid w:val="61AE0D8F"/>
    <w:multiLevelType w:val="hybridMultilevel"/>
    <w:tmpl w:val="C408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E70D54"/>
    <w:multiLevelType w:val="hybridMultilevel"/>
    <w:tmpl w:val="12F0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A347F5"/>
    <w:multiLevelType w:val="hybridMultilevel"/>
    <w:tmpl w:val="6696EA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2F90BD9"/>
    <w:multiLevelType w:val="hybridMultilevel"/>
    <w:tmpl w:val="6AD605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74C34117"/>
    <w:multiLevelType w:val="hybridMultilevel"/>
    <w:tmpl w:val="7F4AB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4"/>
  </w:num>
  <w:num w:numId="4">
    <w:abstractNumId w:val="12"/>
  </w:num>
  <w:num w:numId="5">
    <w:abstractNumId w:val="17"/>
  </w:num>
  <w:num w:numId="6">
    <w:abstractNumId w:val="15"/>
  </w:num>
  <w:num w:numId="7">
    <w:abstractNumId w:val="5"/>
  </w:num>
  <w:num w:numId="8">
    <w:abstractNumId w:val="1"/>
  </w:num>
  <w:num w:numId="9">
    <w:abstractNumId w:val="14"/>
  </w:num>
  <w:num w:numId="10">
    <w:abstractNumId w:val="20"/>
  </w:num>
  <w:num w:numId="11">
    <w:abstractNumId w:val="18"/>
  </w:num>
  <w:num w:numId="12">
    <w:abstractNumId w:val="8"/>
  </w:num>
  <w:num w:numId="13">
    <w:abstractNumId w:val="13"/>
  </w:num>
  <w:num w:numId="14">
    <w:abstractNumId w:val="6"/>
  </w:num>
  <w:num w:numId="15">
    <w:abstractNumId w:val="11"/>
  </w:num>
  <w:num w:numId="16">
    <w:abstractNumId w:val="19"/>
  </w:num>
  <w:num w:numId="17">
    <w:abstractNumId w:val="10"/>
  </w:num>
  <w:num w:numId="18">
    <w:abstractNumId w:val="0"/>
  </w:num>
  <w:num w:numId="19">
    <w:abstractNumId w:val="3"/>
  </w:num>
  <w:num w:numId="20">
    <w:abstractNumId w:val="9"/>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s Williams">
    <w15:presenceInfo w15:providerId="AD" w15:userId="S-1-5-21-842618948-1229914729-489474595-2695"/>
  </w15:person>
  <w15:person w15:author="Neil King">
    <w15:presenceInfo w15:providerId="AD" w15:userId="S-1-5-21-962865811-261033343-6498272-1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9F"/>
    <w:rsid w:val="00004781"/>
    <w:rsid w:val="00022FB0"/>
    <w:rsid w:val="00030697"/>
    <w:rsid w:val="00031D91"/>
    <w:rsid w:val="0004595A"/>
    <w:rsid w:val="000516FF"/>
    <w:rsid w:val="000527F7"/>
    <w:rsid w:val="00065D69"/>
    <w:rsid w:val="00094F9D"/>
    <w:rsid w:val="00097E3D"/>
    <w:rsid w:val="000C61A4"/>
    <w:rsid w:val="000F2517"/>
    <w:rsid w:val="000F71CC"/>
    <w:rsid w:val="00104586"/>
    <w:rsid w:val="00110821"/>
    <w:rsid w:val="0011619E"/>
    <w:rsid w:val="00122316"/>
    <w:rsid w:val="00126804"/>
    <w:rsid w:val="00127429"/>
    <w:rsid w:val="00137FE6"/>
    <w:rsid w:val="001405ED"/>
    <w:rsid w:val="0015740E"/>
    <w:rsid w:val="00162911"/>
    <w:rsid w:val="00163C73"/>
    <w:rsid w:val="00174853"/>
    <w:rsid w:val="0017577B"/>
    <w:rsid w:val="001771CD"/>
    <w:rsid w:val="001B79F6"/>
    <w:rsid w:val="001C09E3"/>
    <w:rsid w:val="001C1B7F"/>
    <w:rsid w:val="001D09F7"/>
    <w:rsid w:val="001D675B"/>
    <w:rsid w:val="001F649D"/>
    <w:rsid w:val="0024623E"/>
    <w:rsid w:val="00247CBA"/>
    <w:rsid w:val="002815DD"/>
    <w:rsid w:val="00291A54"/>
    <w:rsid w:val="00291F96"/>
    <w:rsid w:val="00292F01"/>
    <w:rsid w:val="002D2DC8"/>
    <w:rsid w:val="00307C32"/>
    <w:rsid w:val="00353A52"/>
    <w:rsid w:val="00372178"/>
    <w:rsid w:val="00382A50"/>
    <w:rsid w:val="003910A1"/>
    <w:rsid w:val="00391545"/>
    <w:rsid w:val="003A3149"/>
    <w:rsid w:val="003B235B"/>
    <w:rsid w:val="003D6438"/>
    <w:rsid w:val="003F18AA"/>
    <w:rsid w:val="004052CA"/>
    <w:rsid w:val="004100E2"/>
    <w:rsid w:val="0041716D"/>
    <w:rsid w:val="00417D9D"/>
    <w:rsid w:val="00420A94"/>
    <w:rsid w:val="004373A8"/>
    <w:rsid w:val="00442963"/>
    <w:rsid w:val="00446157"/>
    <w:rsid w:val="00454374"/>
    <w:rsid w:val="00463B3D"/>
    <w:rsid w:val="004B61EA"/>
    <w:rsid w:val="004D4A60"/>
    <w:rsid w:val="004F1C8B"/>
    <w:rsid w:val="005049F1"/>
    <w:rsid w:val="00533195"/>
    <w:rsid w:val="00551BFC"/>
    <w:rsid w:val="00581547"/>
    <w:rsid w:val="005A261C"/>
    <w:rsid w:val="005C019B"/>
    <w:rsid w:val="005C6599"/>
    <w:rsid w:val="005D76AC"/>
    <w:rsid w:val="005E18C5"/>
    <w:rsid w:val="005F1D38"/>
    <w:rsid w:val="006047FF"/>
    <w:rsid w:val="00613F83"/>
    <w:rsid w:val="006244A5"/>
    <w:rsid w:val="00626D93"/>
    <w:rsid w:val="00656D6C"/>
    <w:rsid w:val="00662C7D"/>
    <w:rsid w:val="0067506A"/>
    <w:rsid w:val="00695824"/>
    <w:rsid w:val="006A136A"/>
    <w:rsid w:val="006C458B"/>
    <w:rsid w:val="006D4428"/>
    <w:rsid w:val="006D486B"/>
    <w:rsid w:val="0071333D"/>
    <w:rsid w:val="0071642C"/>
    <w:rsid w:val="00720B42"/>
    <w:rsid w:val="0074674C"/>
    <w:rsid w:val="00760260"/>
    <w:rsid w:val="00761B52"/>
    <w:rsid w:val="00792732"/>
    <w:rsid w:val="007A71CC"/>
    <w:rsid w:val="007D3BCA"/>
    <w:rsid w:val="008014ED"/>
    <w:rsid w:val="00803863"/>
    <w:rsid w:val="00811DAF"/>
    <w:rsid w:val="00815D95"/>
    <w:rsid w:val="00831379"/>
    <w:rsid w:val="008360F6"/>
    <w:rsid w:val="0084699E"/>
    <w:rsid w:val="00852E0A"/>
    <w:rsid w:val="008707F8"/>
    <w:rsid w:val="00872779"/>
    <w:rsid w:val="00874442"/>
    <w:rsid w:val="0089399C"/>
    <w:rsid w:val="008A1E05"/>
    <w:rsid w:val="008C3A3F"/>
    <w:rsid w:val="008D5461"/>
    <w:rsid w:val="008F71AF"/>
    <w:rsid w:val="00900A27"/>
    <w:rsid w:val="00916469"/>
    <w:rsid w:val="00936D93"/>
    <w:rsid w:val="00943E9F"/>
    <w:rsid w:val="0094427F"/>
    <w:rsid w:val="00945745"/>
    <w:rsid w:val="009663A0"/>
    <w:rsid w:val="009846E4"/>
    <w:rsid w:val="00997ACF"/>
    <w:rsid w:val="009A3351"/>
    <w:rsid w:val="009C60F1"/>
    <w:rsid w:val="009D74D8"/>
    <w:rsid w:val="009F7055"/>
    <w:rsid w:val="00A01DF6"/>
    <w:rsid w:val="00A65AB9"/>
    <w:rsid w:val="00A76A68"/>
    <w:rsid w:val="00A777CE"/>
    <w:rsid w:val="00AA54EF"/>
    <w:rsid w:val="00AA61DD"/>
    <w:rsid w:val="00AC52C7"/>
    <w:rsid w:val="00B05F17"/>
    <w:rsid w:val="00B109E1"/>
    <w:rsid w:val="00B15367"/>
    <w:rsid w:val="00B1659A"/>
    <w:rsid w:val="00B358D0"/>
    <w:rsid w:val="00B4248A"/>
    <w:rsid w:val="00B424A1"/>
    <w:rsid w:val="00B52962"/>
    <w:rsid w:val="00B739CE"/>
    <w:rsid w:val="00BC0410"/>
    <w:rsid w:val="00BD6D32"/>
    <w:rsid w:val="00BD7947"/>
    <w:rsid w:val="00BE2432"/>
    <w:rsid w:val="00BF1598"/>
    <w:rsid w:val="00C12CD1"/>
    <w:rsid w:val="00C1493F"/>
    <w:rsid w:val="00C14AC4"/>
    <w:rsid w:val="00C32A08"/>
    <w:rsid w:val="00C34441"/>
    <w:rsid w:val="00C35519"/>
    <w:rsid w:val="00C45AE5"/>
    <w:rsid w:val="00C50540"/>
    <w:rsid w:val="00C50F6B"/>
    <w:rsid w:val="00C6593A"/>
    <w:rsid w:val="00C931EF"/>
    <w:rsid w:val="00C932AF"/>
    <w:rsid w:val="00CE0F79"/>
    <w:rsid w:val="00CE529A"/>
    <w:rsid w:val="00CF0E1B"/>
    <w:rsid w:val="00D10ADE"/>
    <w:rsid w:val="00D2694F"/>
    <w:rsid w:val="00D26AA1"/>
    <w:rsid w:val="00D4013F"/>
    <w:rsid w:val="00D55502"/>
    <w:rsid w:val="00D750F7"/>
    <w:rsid w:val="00D83B64"/>
    <w:rsid w:val="00D85780"/>
    <w:rsid w:val="00D97C31"/>
    <w:rsid w:val="00DB0B6C"/>
    <w:rsid w:val="00DB276E"/>
    <w:rsid w:val="00DB3A82"/>
    <w:rsid w:val="00DC0D54"/>
    <w:rsid w:val="00E45152"/>
    <w:rsid w:val="00E71A6D"/>
    <w:rsid w:val="00E81183"/>
    <w:rsid w:val="00E83321"/>
    <w:rsid w:val="00E954C0"/>
    <w:rsid w:val="00E97857"/>
    <w:rsid w:val="00EB2B3D"/>
    <w:rsid w:val="00ED7C35"/>
    <w:rsid w:val="00EE28BB"/>
    <w:rsid w:val="00EE7D41"/>
    <w:rsid w:val="00EF1CD6"/>
    <w:rsid w:val="00EF22DC"/>
    <w:rsid w:val="00F64261"/>
    <w:rsid w:val="00F72296"/>
    <w:rsid w:val="00F740C4"/>
    <w:rsid w:val="00F76777"/>
    <w:rsid w:val="00FC1921"/>
    <w:rsid w:val="00FD19FE"/>
    <w:rsid w:val="00FD4B8E"/>
    <w:rsid w:val="00FF0591"/>
    <w:rsid w:val="00FF7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D4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D9D"/>
    <w:pPr>
      <w:spacing w:before="120" w:after="280"/>
    </w:pPr>
  </w:style>
  <w:style w:type="paragraph" w:styleId="Heading1">
    <w:name w:val="heading 1"/>
    <w:basedOn w:val="Normal"/>
    <w:next w:val="Normal"/>
    <w:link w:val="Heading1Char"/>
    <w:uiPriority w:val="9"/>
    <w:qFormat/>
    <w:rsid w:val="00F72296"/>
    <w:pPr>
      <w:keepNext/>
      <w:keepLines/>
      <w:spacing w:before="48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7D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3E9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43E9F"/>
    <w:rPr>
      <w:rFonts w:eastAsiaTheme="minorEastAsia"/>
      <w:lang w:val="en-US"/>
    </w:rPr>
  </w:style>
  <w:style w:type="paragraph" w:styleId="Header">
    <w:name w:val="header"/>
    <w:basedOn w:val="Normal"/>
    <w:link w:val="HeaderChar"/>
    <w:uiPriority w:val="99"/>
    <w:unhideWhenUsed/>
    <w:rsid w:val="00943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E9F"/>
  </w:style>
  <w:style w:type="paragraph" w:styleId="Footer">
    <w:name w:val="footer"/>
    <w:basedOn w:val="Normal"/>
    <w:link w:val="FooterChar"/>
    <w:uiPriority w:val="99"/>
    <w:unhideWhenUsed/>
    <w:rsid w:val="00943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E9F"/>
  </w:style>
  <w:style w:type="character" w:customStyle="1" w:styleId="Heading1Char">
    <w:name w:val="Heading 1 Char"/>
    <w:basedOn w:val="DefaultParagraphFont"/>
    <w:link w:val="Heading1"/>
    <w:uiPriority w:val="9"/>
    <w:rsid w:val="00F7229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43E9F"/>
    <w:pPr>
      <w:outlineLvl w:val="9"/>
    </w:pPr>
    <w:rPr>
      <w:lang w:val="en-US"/>
    </w:rPr>
  </w:style>
  <w:style w:type="character" w:customStyle="1" w:styleId="Heading2Char">
    <w:name w:val="Heading 2 Char"/>
    <w:basedOn w:val="DefaultParagraphFont"/>
    <w:link w:val="Heading2"/>
    <w:uiPriority w:val="9"/>
    <w:rsid w:val="00417D9D"/>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417D9D"/>
    <w:pPr>
      <w:spacing w:after="100"/>
    </w:pPr>
  </w:style>
  <w:style w:type="paragraph" w:styleId="TOC2">
    <w:name w:val="toc 2"/>
    <w:basedOn w:val="Normal"/>
    <w:next w:val="Normal"/>
    <w:autoRedefine/>
    <w:uiPriority w:val="39"/>
    <w:unhideWhenUsed/>
    <w:rsid w:val="00417D9D"/>
    <w:pPr>
      <w:spacing w:after="100"/>
      <w:ind w:left="220"/>
    </w:pPr>
  </w:style>
  <w:style w:type="character" w:styleId="Hyperlink">
    <w:name w:val="Hyperlink"/>
    <w:basedOn w:val="DefaultParagraphFont"/>
    <w:uiPriority w:val="99"/>
    <w:unhideWhenUsed/>
    <w:rsid w:val="00417D9D"/>
    <w:rPr>
      <w:color w:val="0563C1" w:themeColor="hyperlink"/>
      <w:u w:val="single"/>
    </w:rPr>
  </w:style>
  <w:style w:type="paragraph" w:styleId="ListParagraph">
    <w:name w:val="List Paragraph"/>
    <w:basedOn w:val="Normal"/>
    <w:uiPriority w:val="34"/>
    <w:qFormat/>
    <w:rsid w:val="00417D9D"/>
    <w:pPr>
      <w:ind w:left="720"/>
      <w:contextualSpacing/>
    </w:pPr>
  </w:style>
  <w:style w:type="character" w:styleId="CommentReference">
    <w:name w:val="annotation reference"/>
    <w:basedOn w:val="DefaultParagraphFont"/>
    <w:uiPriority w:val="99"/>
    <w:semiHidden/>
    <w:unhideWhenUsed/>
    <w:rsid w:val="00FD19FE"/>
    <w:rPr>
      <w:sz w:val="16"/>
      <w:szCs w:val="16"/>
    </w:rPr>
  </w:style>
  <w:style w:type="paragraph" w:styleId="CommentText">
    <w:name w:val="annotation text"/>
    <w:basedOn w:val="Normal"/>
    <w:link w:val="CommentTextChar"/>
    <w:uiPriority w:val="99"/>
    <w:semiHidden/>
    <w:unhideWhenUsed/>
    <w:rsid w:val="00FD19FE"/>
    <w:pPr>
      <w:spacing w:line="240" w:lineRule="auto"/>
    </w:pPr>
    <w:rPr>
      <w:sz w:val="20"/>
      <w:szCs w:val="20"/>
    </w:rPr>
  </w:style>
  <w:style w:type="character" w:customStyle="1" w:styleId="CommentTextChar">
    <w:name w:val="Comment Text Char"/>
    <w:basedOn w:val="DefaultParagraphFont"/>
    <w:link w:val="CommentText"/>
    <w:uiPriority w:val="99"/>
    <w:semiHidden/>
    <w:rsid w:val="00FD19FE"/>
    <w:rPr>
      <w:sz w:val="20"/>
      <w:szCs w:val="20"/>
    </w:rPr>
  </w:style>
  <w:style w:type="paragraph" w:styleId="CommentSubject">
    <w:name w:val="annotation subject"/>
    <w:basedOn w:val="CommentText"/>
    <w:next w:val="CommentText"/>
    <w:link w:val="CommentSubjectChar"/>
    <w:uiPriority w:val="99"/>
    <w:semiHidden/>
    <w:unhideWhenUsed/>
    <w:rsid w:val="00FD19FE"/>
    <w:rPr>
      <w:b/>
      <w:bCs/>
    </w:rPr>
  </w:style>
  <w:style w:type="character" w:customStyle="1" w:styleId="CommentSubjectChar">
    <w:name w:val="Comment Subject Char"/>
    <w:basedOn w:val="CommentTextChar"/>
    <w:link w:val="CommentSubject"/>
    <w:uiPriority w:val="99"/>
    <w:semiHidden/>
    <w:rsid w:val="00FD19FE"/>
    <w:rPr>
      <w:b/>
      <w:bCs/>
      <w:sz w:val="20"/>
      <w:szCs w:val="20"/>
    </w:rPr>
  </w:style>
  <w:style w:type="paragraph" w:styleId="BalloonText">
    <w:name w:val="Balloon Text"/>
    <w:basedOn w:val="Normal"/>
    <w:link w:val="BalloonTextChar"/>
    <w:uiPriority w:val="99"/>
    <w:semiHidden/>
    <w:unhideWhenUsed/>
    <w:rsid w:val="00FD19F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9F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D9D"/>
    <w:pPr>
      <w:spacing w:before="120" w:after="280"/>
    </w:pPr>
  </w:style>
  <w:style w:type="paragraph" w:styleId="Heading1">
    <w:name w:val="heading 1"/>
    <w:basedOn w:val="Normal"/>
    <w:next w:val="Normal"/>
    <w:link w:val="Heading1Char"/>
    <w:uiPriority w:val="9"/>
    <w:qFormat/>
    <w:rsid w:val="00F72296"/>
    <w:pPr>
      <w:keepNext/>
      <w:keepLines/>
      <w:spacing w:before="48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7D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3E9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43E9F"/>
    <w:rPr>
      <w:rFonts w:eastAsiaTheme="minorEastAsia"/>
      <w:lang w:val="en-US"/>
    </w:rPr>
  </w:style>
  <w:style w:type="paragraph" w:styleId="Header">
    <w:name w:val="header"/>
    <w:basedOn w:val="Normal"/>
    <w:link w:val="HeaderChar"/>
    <w:uiPriority w:val="99"/>
    <w:unhideWhenUsed/>
    <w:rsid w:val="00943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E9F"/>
  </w:style>
  <w:style w:type="paragraph" w:styleId="Footer">
    <w:name w:val="footer"/>
    <w:basedOn w:val="Normal"/>
    <w:link w:val="FooterChar"/>
    <w:uiPriority w:val="99"/>
    <w:unhideWhenUsed/>
    <w:rsid w:val="00943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E9F"/>
  </w:style>
  <w:style w:type="character" w:customStyle="1" w:styleId="Heading1Char">
    <w:name w:val="Heading 1 Char"/>
    <w:basedOn w:val="DefaultParagraphFont"/>
    <w:link w:val="Heading1"/>
    <w:uiPriority w:val="9"/>
    <w:rsid w:val="00F7229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43E9F"/>
    <w:pPr>
      <w:outlineLvl w:val="9"/>
    </w:pPr>
    <w:rPr>
      <w:lang w:val="en-US"/>
    </w:rPr>
  </w:style>
  <w:style w:type="character" w:customStyle="1" w:styleId="Heading2Char">
    <w:name w:val="Heading 2 Char"/>
    <w:basedOn w:val="DefaultParagraphFont"/>
    <w:link w:val="Heading2"/>
    <w:uiPriority w:val="9"/>
    <w:rsid w:val="00417D9D"/>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417D9D"/>
    <w:pPr>
      <w:spacing w:after="100"/>
    </w:pPr>
  </w:style>
  <w:style w:type="paragraph" w:styleId="TOC2">
    <w:name w:val="toc 2"/>
    <w:basedOn w:val="Normal"/>
    <w:next w:val="Normal"/>
    <w:autoRedefine/>
    <w:uiPriority w:val="39"/>
    <w:unhideWhenUsed/>
    <w:rsid w:val="00417D9D"/>
    <w:pPr>
      <w:spacing w:after="100"/>
      <w:ind w:left="220"/>
    </w:pPr>
  </w:style>
  <w:style w:type="character" w:styleId="Hyperlink">
    <w:name w:val="Hyperlink"/>
    <w:basedOn w:val="DefaultParagraphFont"/>
    <w:uiPriority w:val="99"/>
    <w:unhideWhenUsed/>
    <w:rsid w:val="00417D9D"/>
    <w:rPr>
      <w:color w:val="0563C1" w:themeColor="hyperlink"/>
      <w:u w:val="single"/>
    </w:rPr>
  </w:style>
  <w:style w:type="paragraph" w:styleId="ListParagraph">
    <w:name w:val="List Paragraph"/>
    <w:basedOn w:val="Normal"/>
    <w:uiPriority w:val="34"/>
    <w:qFormat/>
    <w:rsid w:val="00417D9D"/>
    <w:pPr>
      <w:ind w:left="720"/>
      <w:contextualSpacing/>
    </w:pPr>
  </w:style>
  <w:style w:type="character" w:styleId="CommentReference">
    <w:name w:val="annotation reference"/>
    <w:basedOn w:val="DefaultParagraphFont"/>
    <w:uiPriority w:val="99"/>
    <w:semiHidden/>
    <w:unhideWhenUsed/>
    <w:rsid w:val="00FD19FE"/>
    <w:rPr>
      <w:sz w:val="16"/>
      <w:szCs w:val="16"/>
    </w:rPr>
  </w:style>
  <w:style w:type="paragraph" w:styleId="CommentText">
    <w:name w:val="annotation text"/>
    <w:basedOn w:val="Normal"/>
    <w:link w:val="CommentTextChar"/>
    <w:uiPriority w:val="99"/>
    <w:semiHidden/>
    <w:unhideWhenUsed/>
    <w:rsid w:val="00FD19FE"/>
    <w:pPr>
      <w:spacing w:line="240" w:lineRule="auto"/>
    </w:pPr>
    <w:rPr>
      <w:sz w:val="20"/>
      <w:szCs w:val="20"/>
    </w:rPr>
  </w:style>
  <w:style w:type="character" w:customStyle="1" w:styleId="CommentTextChar">
    <w:name w:val="Comment Text Char"/>
    <w:basedOn w:val="DefaultParagraphFont"/>
    <w:link w:val="CommentText"/>
    <w:uiPriority w:val="99"/>
    <w:semiHidden/>
    <w:rsid w:val="00FD19FE"/>
    <w:rPr>
      <w:sz w:val="20"/>
      <w:szCs w:val="20"/>
    </w:rPr>
  </w:style>
  <w:style w:type="paragraph" w:styleId="CommentSubject">
    <w:name w:val="annotation subject"/>
    <w:basedOn w:val="CommentText"/>
    <w:next w:val="CommentText"/>
    <w:link w:val="CommentSubjectChar"/>
    <w:uiPriority w:val="99"/>
    <w:semiHidden/>
    <w:unhideWhenUsed/>
    <w:rsid w:val="00FD19FE"/>
    <w:rPr>
      <w:b/>
      <w:bCs/>
    </w:rPr>
  </w:style>
  <w:style w:type="character" w:customStyle="1" w:styleId="CommentSubjectChar">
    <w:name w:val="Comment Subject Char"/>
    <w:basedOn w:val="CommentTextChar"/>
    <w:link w:val="CommentSubject"/>
    <w:uiPriority w:val="99"/>
    <w:semiHidden/>
    <w:rsid w:val="00FD19FE"/>
    <w:rPr>
      <w:b/>
      <w:bCs/>
      <w:sz w:val="20"/>
      <w:szCs w:val="20"/>
    </w:rPr>
  </w:style>
  <w:style w:type="paragraph" w:styleId="BalloonText">
    <w:name w:val="Balloon Text"/>
    <w:basedOn w:val="Normal"/>
    <w:link w:val="BalloonTextChar"/>
    <w:uiPriority w:val="99"/>
    <w:semiHidden/>
    <w:unhideWhenUsed/>
    <w:rsid w:val="00FD19F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1516">
      <w:bodyDiv w:val="1"/>
      <w:marLeft w:val="0"/>
      <w:marRight w:val="0"/>
      <w:marTop w:val="0"/>
      <w:marBottom w:val="0"/>
      <w:divBdr>
        <w:top w:val="none" w:sz="0" w:space="0" w:color="auto"/>
        <w:left w:val="none" w:sz="0" w:space="0" w:color="auto"/>
        <w:bottom w:val="none" w:sz="0" w:space="0" w:color="auto"/>
        <w:right w:val="none" w:sz="0" w:space="0" w:color="auto"/>
      </w:divBdr>
    </w:div>
    <w:div w:id="131749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C5"/>
    <w:rsid w:val="005325FB"/>
    <w:rsid w:val="008306C5"/>
    <w:rsid w:val="00D71B74"/>
    <w:rsid w:val="00EA1E6C"/>
    <w:rsid w:val="00FA3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8B8F53BFBB4DB68A1C7E7E258EC609">
    <w:name w:val="398B8F53BFBB4DB68A1C7E7E258EC609"/>
    <w:rsid w:val="008306C5"/>
  </w:style>
  <w:style w:type="paragraph" w:customStyle="1" w:styleId="102C0BB2AD1C451C95999F2A8D7A3F0C">
    <w:name w:val="102C0BB2AD1C451C95999F2A8D7A3F0C"/>
    <w:rsid w:val="008306C5"/>
  </w:style>
  <w:style w:type="paragraph" w:customStyle="1" w:styleId="87FC75AE04824E00B75F6B127C0E3447">
    <w:name w:val="87FC75AE04824E00B75F6B127C0E3447"/>
    <w:rsid w:val="008306C5"/>
  </w:style>
  <w:style w:type="paragraph" w:customStyle="1" w:styleId="EC8A6521F4E5434E8D4A42ECF79A054D">
    <w:name w:val="EC8A6521F4E5434E8D4A42ECF79A054D"/>
    <w:rsid w:val="008306C5"/>
  </w:style>
  <w:style w:type="paragraph" w:customStyle="1" w:styleId="3243DB1B77CA4BCC8BB339249274F67E">
    <w:name w:val="3243DB1B77CA4BCC8BB339249274F67E"/>
    <w:rsid w:val="008306C5"/>
  </w:style>
  <w:style w:type="paragraph" w:customStyle="1" w:styleId="4BFB6E7F0DEB452F84237455FEEB5412">
    <w:name w:val="4BFB6E7F0DEB452F84237455FEEB5412"/>
    <w:rsid w:val="008306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8B8F53BFBB4DB68A1C7E7E258EC609">
    <w:name w:val="398B8F53BFBB4DB68A1C7E7E258EC609"/>
    <w:rsid w:val="008306C5"/>
  </w:style>
  <w:style w:type="paragraph" w:customStyle="1" w:styleId="102C0BB2AD1C451C95999F2A8D7A3F0C">
    <w:name w:val="102C0BB2AD1C451C95999F2A8D7A3F0C"/>
    <w:rsid w:val="008306C5"/>
  </w:style>
  <w:style w:type="paragraph" w:customStyle="1" w:styleId="87FC75AE04824E00B75F6B127C0E3447">
    <w:name w:val="87FC75AE04824E00B75F6B127C0E3447"/>
    <w:rsid w:val="008306C5"/>
  </w:style>
  <w:style w:type="paragraph" w:customStyle="1" w:styleId="EC8A6521F4E5434E8D4A42ECF79A054D">
    <w:name w:val="EC8A6521F4E5434E8D4A42ECF79A054D"/>
    <w:rsid w:val="008306C5"/>
  </w:style>
  <w:style w:type="paragraph" w:customStyle="1" w:styleId="3243DB1B77CA4BCC8BB339249274F67E">
    <w:name w:val="3243DB1B77CA4BCC8BB339249274F67E"/>
    <w:rsid w:val="008306C5"/>
  </w:style>
  <w:style w:type="paragraph" w:customStyle="1" w:styleId="4BFB6E7F0DEB452F84237455FEEB5412">
    <w:name w:val="4BFB6E7F0DEB452F84237455FEEB5412"/>
    <w:rsid w:val="00830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3AC147-07C7-4670-9955-AFB1F5C2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4138</Words>
  <Characters>23590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Proof of Evidence</vt:lpstr>
    </vt:vector>
  </TitlesOfParts>
  <Company>New Granville Limited Liability Partnership</Company>
  <LinksUpToDate>false</LinksUpToDate>
  <CharactersWithSpaces>27673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Proof of Evidence</dc:title>
  <dc:subject>THE LONDON BOROUGH OF BARNET (GRANVILLE ROAD ESTATE) COMPULSORY PURCHASE ORDER 2018</dc:subject>
  <dc:creator>Ross Williams</dc:creator>
  <cp:keywords/>
  <dc:description/>
  <cp:lastModifiedBy>Fergus Charlton</cp:lastModifiedBy>
  <cp:revision>14</cp:revision>
  <dcterms:created xsi:type="dcterms:W3CDTF">2018-06-19T08:37:00Z</dcterms:created>
  <dcterms:modified xsi:type="dcterms:W3CDTF">2018-06-22T11:47:00Z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46450485.9</vt:lpwstr>
  </property>
</Properties>
</file>